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6B" w:rsidRPr="00C23BE4" w:rsidRDefault="009E066B" w:rsidP="009E066B">
      <w:pPr>
        <w:tabs>
          <w:tab w:val="center" w:pos="4609"/>
          <w:tab w:val="right" w:pos="8498"/>
        </w:tabs>
        <w:spacing w:after="0" w:line="276" w:lineRule="auto"/>
        <w:rPr>
          <w:rFonts w:ascii="Times New Roman" w:hAnsi="Times New Roman"/>
          <w:b/>
          <w:sz w:val="16"/>
          <w:szCs w:val="18"/>
        </w:rPr>
      </w:pPr>
      <w:r w:rsidRPr="00C23BE4">
        <w:rPr>
          <w:rFonts w:ascii="Times New Roman" w:hAnsi="Times New Roman"/>
          <w:b/>
          <w:sz w:val="16"/>
          <w:szCs w:val="18"/>
        </w:rPr>
        <w:t>Załącznik nr 1</w:t>
      </w:r>
      <w:r>
        <w:rPr>
          <w:rFonts w:ascii="Times New Roman" w:hAnsi="Times New Roman"/>
          <w:b/>
          <w:sz w:val="16"/>
          <w:szCs w:val="18"/>
        </w:rPr>
        <w:t xml:space="preserve"> do P</w:t>
      </w:r>
      <w:r w:rsidRPr="00C23BE4">
        <w:rPr>
          <w:rFonts w:ascii="Times New Roman" w:hAnsi="Times New Roman"/>
          <w:b/>
          <w:sz w:val="16"/>
          <w:szCs w:val="18"/>
        </w:rPr>
        <w:t>ism</w:t>
      </w:r>
      <w:r>
        <w:rPr>
          <w:rFonts w:ascii="Times New Roman" w:hAnsi="Times New Roman"/>
          <w:b/>
          <w:sz w:val="16"/>
          <w:szCs w:val="18"/>
        </w:rPr>
        <w:t xml:space="preserve">a </w:t>
      </w:r>
      <w:r w:rsidRPr="00C23BE4">
        <w:rPr>
          <w:rFonts w:ascii="Times New Roman" w:hAnsi="Times New Roman"/>
          <w:b/>
          <w:sz w:val="16"/>
          <w:szCs w:val="18"/>
        </w:rPr>
        <w:t>skierowane</w:t>
      </w:r>
      <w:r>
        <w:rPr>
          <w:rFonts w:ascii="Times New Roman" w:hAnsi="Times New Roman"/>
          <w:b/>
          <w:sz w:val="16"/>
          <w:szCs w:val="18"/>
        </w:rPr>
        <w:t>go</w:t>
      </w:r>
      <w:r w:rsidRPr="00C23BE4">
        <w:rPr>
          <w:rFonts w:ascii="Times New Roman" w:hAnsi="Times New Roman"/>
          <w:b/>
          <w:sz w:val="16"/>
          <w:szCs w:val="18"/>
        </w:rPr>
        <w:t xml:space="preserve"> do osób pełniących obowiązki zarządcze</w:t>
      </w:r>
    </w:p>
    <w:p w:rsidR="009E066B" w:rsidRPr="006A2FDA" w:rsidRDefault="009E066B" w:rsidP="009E066B">
      <w:pPr>
        <w:spacing w:after="0" w:line="276" w:lineRule="auto"/>
        <w:jc w:val="both"/>
        <w:rPr>
          <w:rFonts w:ascii="Times New Roman" w:hAnsi="Times New Roman"/>
          <w:b/>
          <w:sz w:val="20"/>
          <w:u w:val="single"/>
        </w:rPr>
      </w:pPr>
    </w:p>
    <w:p w:rsidR="009E066B" w:rsidRPr="006A2FDA" w:rsidRDefault="009E066B" w:rsidP="009E066B">
      <w:pPr>
        <w:spacing w:after="0" w:line="276" w:lineRule="auto"/>
        <w:jc w:val="both"/>
        <w:rPr>
          <w:rFonts w:ascii="Times New Roman" w:hAnsi="Times New Roman"/>
          <w:b/>
          <w:sz w:val="20"/>
          <w:u w:val="single"/>
        </w:rPr>
      </w:pPr>
    </w:p>
    <w:p w:rsidR="009E066B" w:rsidRPr="006A2FDA" w:rsidRDefault="009E066B" w:rsidP="009E066B">
      <w:pPr>
        <w:spacing w:after="0" w:line="276" w:lineRule="auto"/>
        <w:jc w:val="center"/>
        <w:rPr>
          <w:rFonts w:ascii="Times New Roman" w:hAnsi="Times New Roman"/>
          <w:b/>
          <w:sz w:val="20"/>
        </w:rPr>
      </w:pPr>
      <w:bookmarkStart w:id="0" w:name="_GoBack"/>
      <w:r w:rsidRPr="006A2FDA">
        <w:rPr>
          <w:rFonts w:ascii="Times New Roman" w:hAnsi="Times New Roman"/>
          <w:b/>
          <w:sz w:val="20"/>
        </w:rPr>
        <w:t xml:space="preserve">POWIADOMIENIE O OBOWIĄZKACH </w:t>
      </w:r>
    </w:p>
    <w:p w:rsidR="009E066B" w:rsidRPr="006A2FDA" w:rsidRDefault="009E066B" w:rsidP="009E066B">
      <w:pPr>
        <w:spacing w:after="0" w:line="276" w:lineRule="auto"/>
        <w:jc w:val="center"/>
        <w:rPr>
          <w:rFonts w:ascii="Times New Roman" w:hAnsi="Times New Roman"/>
          <w:b/>
          <w:sz w:val="20"/>
        </w:rPr>
      </w:pPr>
      <w:r w:rsidRPr="006A2FDA">
        <w:rPr>
          <w:rFonts w:ascii="Times New Roman" w:hAnsi="Times New Roman"/>
          <w:b/>
          <w:sz w:val="20"/>
        </w:rPr>
        <w:t>WYNIKAJĄCYCH Z ART. 19 ROZPORZĄDZENIA MAR</w:t>
      </w:r>
    </w:p>
    <w:bookmarkEnd w:id="0"/>
    <w:p w:rsidR="009E066B" w:rsidRPr="006A2FDA" w:rsidRDefault="009E066B" w:rsidP="009E066B">
      <w:pPr>
        <w:spacing w:after="0" w:line="276" w:lineRule="auto"/>
        <w:rPr>
          <w:rFonts w:ascii="Times New Roman" w:hAnsi="Times New Roman"/>
          <w:sz w:val="18"/>
          <w:szCs w:val="18"/>
        </w:rPr>
      </w:pPr>
    </w:p>
    <w:p w:rsidR="009E066B" w:rsidRPr="006A2FDA" w:rsidRDefault="009E066B" w:rsidP="009E066B">
      <w:pPr>
        <w:spacing w:after="0" w:line="276" w:lineRule="auto"/>
        <w:ind w:hanging="360"/>
        <w:jc w:val="both"/>
        <w:rPr>
          <w:rFonts w:ascii="Times New Roman" w:hAnsi="Times New Roman"/>
          <w:sz w:val="18"/>
          <w:szCs w:val="18"/>
        </w:rPr>
      </w:pPr>
    </w:p>
    <w:p w:rsidR="009E066B" w:rsidRPr="009E066B"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9E066B">
        <w:rPr>
          <w:rFonts w:ascii="Times New Roman" w:hAnsi="Times New Roman"/>
          <w:b/>
          <w:sz w:val="18"/>
          <w:szCs w:val="18"/>
        </w:rPr>
        <w:t>Od dnia 3 lipca 2016 roku zacznie obowiązywać w całości Rozporządzenie MAR</w:t>
      </w:r>
      <w:r w:rsidRPr="009E066B">
        <w:rPr>
          <w:rFonts w:ascii="Times New Roman" w:hAnsi="Times New Roman"/>
          <w:sz w:val="18"/>
          <w:szCs w:val="18"/>
        </w:rPr>
        <w:t xml:space="preserve">. Rozporządzenie MAR zostało uchwalone w dniu 16 kwietnia 2014 r., a niektóre jego przepisy weszły w życie w dniu 2 lipca 2014 r., jednakże w odniesieniu do najbardziej istotnych postanowień wprowadzono dwuletni okres vacatio legis, aby umożliwić emitentom dostosowanie się do działania w zmienionym otoczeniu regulacyjnym. </w:t>
      </w:r>
      <w:r w:rsidRPr="009E066B">
        <w:rPr>
          <w:rFonts w:ascii="Times New Roman" w:hAnsi="Times New Roman"/>
          <w:b/>
          <w:sz w:val="18"/>
          <w:szCs w:val="18"/>
        </w:rPr>
        <w:t>Rozporządzenie MAR jest bezpośrednio skuteczne – nie ma potrzeby jego implementacji do krajowego porządku prawnego</w:t>
      </w:r>
      <w:r w:rsidRPr="009E066B">
        <w:rPr>
          <w:rFonts w:ascii="Times New Roman" w:hAnsi="Times New Roman"/>
          <w:sz w:val="18"/>
          <w:szCs w:val="18"/>
        </w:rPr>
        <w:t>.</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 xml:space="preserve">Do </w:t>
      </w:r>
      <w:r w:rsidRPr="00D66DA2">
        <w:rPr>
          <w:rFonts w:ascii="Times New Roman" w:hAnsi="Times New Roman"/>
          <w:b/>
          <w:sz w:val="18"/>
          <w:szCs w:val="18"/>
        </w:rPr>
        <w:t>najistotniejszych</w:t>
      </w:r>
      <w:r w:rsidRPr="006A2FDA">
        <w:rPr>
          <w:rFonts w:ascii="Times New Roman" w:hAnsi="Times New Roman"/>
          <w:sz w:val="18"/>
          <w:szCs w:val="18"/>
        </w:rPr>
        <w:t xml:space="preserve"> obszarów regulacji Rozporządzenia MAR należy zaliczyć: określenie definicji informacji poufnej, obowiązek podawania informacji poufnych do publicznej wiadomości, obowiązek prowadzenia list osób mających dostęp do informacji poufnych, obowiązek powiadamiania o transakcjach osób pełniących obowiązki zarządcze oraz osób blisko z nimi związanych, wymiary sankcji administracyjnych.</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D66DA2">
        <w:rPr>
          <w:rFonts w:ascii="Times New Roman" w:hAnsi="Times New Roman"/>
          <w:b/>
          <w:sz w:val="18"/>
          <w:szCs w:val="18"/>
        </w:rPr>
        <w:t>Regulacje</w:t>
      </w:r>
      <w:r w:rsidRPr="006A2FDA">
        <w:rPr>
          <w:rFonts w:ascii="Times New Roman" w:hAnsi="Times New Roman"/>
          <w:sz w:val="18"/>
          <w:szCs w:val="18"/>
        </w:rPr>
        <w:t xml:space="preserve"> Rozporządzenia MAR, w tym art. 19 Rozporządzenia MAR, mają zastosowanie do Funduszu ze względu na to, że </w:t>
      </w:r>
      <w:r>
        <w:rPr>
          <w:rFonts w:ascii="Times New Roman" w:hAnsi="Times New Roman"/>
          <w:b/>
          <w:sz w:val="18"/>
          <w:szCs w:val="18"/>
        </w:rPr>
        <w:t xml:space="preserve">Fundusz </w:t>
      </w:r>
      <w:r w:rsidRPr="006A2FDA">
        <w:rPr>
          <w:rFonts w:ascii="Times New Roman" w:hAnsi="Times New Roman"/>
          <w:b/>
          <w:sz w:val="18"/>
          <w:szCs w:val="18"/>
        </w:rPr>
        <w:t xml:space="preserve">jest emitentem certyfikatów inwestycyjnych dopuszczonych do obrotu na rynku regulowanym </w:t>
      </w:r>
      <w:r w:rsidRPr="006A2FDA">
        <w:rPr>
          <w:rFonts w:ascii="Times New Roman" w:hAnsi="Times New Roman"/>
          <w:sz w:val="18"/>
          <w:szCs w:val="18"/>
        </w:rPr>
        <w:t>(art. 2 ust 1 lit. a), art. 19 ust. 4 Rozporządzenia MAR)</w:t>
      </w:r>
      <w:r>
        <w:rPr>
          <w:rFonts w:ascii="Times New Roman" w:hAnsi="Times New Roman"/>
          <w:sz w:val="18"/>
          <w:szCs w:val="18"/>
        </w:rPr>
        <w:t xml:space="preserve">, a </w:t>
      </w:r>
      <w:proofErr w:type="spellStart"/>
      <w:r>
        <w:rPr>
          <w:rFonts w:ascii="Times New Roman" w:hAnsi="Times New Roman"/>
          <w:b/>
          <w:sz w:val="18"/>
          <w:szCs w:val="18"/>
        </w:rPr>
        <w:t>Origin</w:t>
      </w:r>
      <w:proofErr w:type="spellEnd"/>
      <w:r w:rsidRPr="001A6133">
        <w:rPr>
          <w:rFonts w:ascii="Times New Roman" w:hAnsi="Times New Roman"/>
          <w:b/>
          <w:sz w:val="18"/>
          <w:szCs w:val="18"/>
        </w:rPr>
        <w:t xml:space="preserve"> Towarzystwo Funduszy Inwestycyjnych S.A.</w:t>
      </w:r>
      <w:r>
        <w:rPr>
          <w:rFonts w:ascii="Times New Roman" w:hAnsi="Times New Roman"/>
          <w:b/>
          <w:sz w:val="18"/>
          <w:szCs w:val="18"/>
        </w:rPr>
        <w:t xml:space="preserve"> </w:t>
      </w:r>
      <w:r>
        <w:rPr>
          <w:rFonts w:ascii="Times New Roman" w:hAnsi="Times New Roman"/>
          <w:sz w:val="18"/>
          <w:szCs w:val="18"/>
        </w:rPr>
        <w:t xml:space="preserve">jest </w:t>
      </w:r>
      <w:r w:rsidRPr="001A6133">
        <w:rPr>
          <w:rFonts w:ascii="Times New Roman" w:hAnsi="Times New Roman"/>
          <w:b/>
          <w:sz w:val="18"/>
          <w:szCs w:val="18"/>
        </w:rPr>
        <w:t>podmiotem zarządzającym</w:t>
      </w:r>
      <w:r>
        <w:rPr>
          <w:rFonts w:ascii="Times New Roman" w:hAnsi="Times New Roman"/>
          <w:sz w:val="18"/>
          <w:szCs w:val="18"/>
        </w:rPr>
        <w:t xml:space="preserve"> tym Funduszem.</w:t>
      </w:r>
    </w:p>
    <w:p w:rsidR="009E066B" w:rsidRPr="009E066B"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9E066B">
        <w:rPr>
          <w:rFonts w:ascii="Times New Roman" w:hAnsi="Times New Roman"/>
          <w:sz w:val="18"/>
          <w:szCs w:val="18"/>
        </w:rPr>
        <w:t>Dla celów Rozporządzenia MAR „</w:t>
      </w:r>
      <w:r w:rsidRPr="009E066B">
        <w:rPr>
          <w:rFonts w:ascii="Times New Roman" w:hAnsi="Times New Roman"/>
          <w:b/>
          <w:sz w:val="18"/>
          <w:szCs w:val="18"/>
        </w:rPr>
        <w:t>osoba pełniąca obowiązki zarządcze</w:t>
      </w:r>
      <w:r w:rsidRPr="009E066B">
        <w:rPr>
          <w:rFonts w:ascii="Times New Roman" w:hAnsi="Times New Roman"/>
          <w:sz w:val="18"/>
          <w:szCs w:val="18"/>
        </w:rPr>
        <w:t>” w rozumieniu art. 3 ust. 1 pkt 25) Rozporządzenia MAR oznacza osobę związaną z Funduszem / Towarzystwem, która:</w:t>
      </w:r>
    </w:p>
    <w:p w:rsidR="009E066B" w:rsidRPr="009E066B" w:rsidRDefault="009E066B" w:rsidP="00D23286">
      <w:pPr>
        <w:pStyle w:val="Akapitzlist"/>
        <w:numPr>
          <w:ilvl w:val="0"/>
          <w:numId w:val="4"/>
        </w:numPr>
        <w:spacing w:after="0" w:line="276" w:lineRule="auto"/>
        <w:jc w:val="both"/>
        <w:rPr>
          <w:rFonts w:ascii="Times New Roman" w:hAnsi="Times New Roman"/>
          <w:sz w:val="18"/>
          <w:szCs w:val="18"/>
        </w:rPr>
      </w:pPr>
      <w:r w:rsidRPr="009E066B">
        <w:rPr>
          <w:rFonts w:ascii="Times New Roman" w:hAnsi="Times New Roman"/>
          <w:sz w:val="18"/>
          <w:szCs w:val="18"/>
        </w:rPr>
        <w:t>jest członkiem zarządu, rady nadzorczej Towarzystwa;</w:t>
      </w:r>
    </w:p>
    <w:p w:rsidR="009E066B" w:rsidRPr="009E066B" w:rsidRDefault="009E066B" w:rsidP="00D23286">
      <w:pPr>
        <w:pStyle w:val="Akapitzlist"/>
        <w:numPr>
          <w:ilvl w:val="0"/>
          <w:numId w:val="4"/>
        </w:numPr>
        <w:spacing w:after="120" w:line="276" w:lineRule="auto"/>
        <w:ind w:left="714" w:hanging="357"/>
        <w:contextualSpacing w:val="0"/>
        <w:jc w:val="both"/>
        <w:rPr>
          <w:rFonts w:ascii="Times New Roman" w:hAnsi="Times New Roman"/>
          <w:sz w:val="18"/>
          <w:szCs w:val="18"/>
        </w:rPr>
      </w:pPr>
      <w:r w:rsidRPr="009E066B">
        <w:rPr>
          <w:rFonts w:ascii="Times New Roman" w:hAnsi="Times New Roman"/>
          <w:sz w:val="18"/>
          <w:szCs w:val="18"/>
        </w:rPr>
        <w:t>pełni funkcje kierownicze, nie będąc członkiem organów, o których mowa w lit. a), przy czym ma stały dostęp do informacji poufnych dotyczących pośrednio lub bezpośrednio Funduszu oraz uprawnienia do podejmowania decyzji zarządczych mających wpływ na dalszy rozwój i perspektywy gospodarcze Funduszu, np. członkowie komitetu inwestycyjnego.</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Dla celów Rozporządzenia MAR „</w:t>
      </w:r>
      <w:r w:rsidRPr="006A2FDA">
        <w:rPr>
          <w:rFonts w:ascii="Times New Roman" w:hAnsi="Times New Roman"/>
          <w:b/>
          <w:sz w:val="18"/>
          <w:szCs w:val="18"/>
        </w:rPr>
        <w:t>osoba blisko związana</w:t>
      </w:r>
      <w:r w:rsidRPr="006A2FDA">
        <w:rPr>
          <w:rFonts w:ascii="Times New Roman" w:hAnsi="Times New Roman"/>
          <w:sz w:val="18"/>
          <w:szCs w:val="18"/>
        </w:rPr>
        <w:t>” w rozumieniu art. 3 ust. 1 pkt 26) Rozporządzenia MAR oznacza:</w:t>
      </w:r>
    </w:p>
    <w:p w:rsidR="009E066B" w:rsidRPr="009E066B" w:rsidRDefault="009E066B" w:rsidP="00D23286">
      <w:pPr>
        <w:pStyle w:val="Akapitzlist"/>
        <w:numPr>
          <w:ilvl w:val="0"/>
          <w:numId w:val="5"/>
        </w:numPr>
        <w:spacing w:after="0" w:line="276" w:lineRule="auto"/>
        <w:jc w:val="both"/>
        <w:rPr>
          <w:rFonts w:ascii="Times New Roman" w:hAnsi="Times New Roman"/>
          <w:sz w:val="18"/>
          <w:szCs w:val="18"/>
        </w:rPr>
      </w:pPr>
      <w:r w:rsidRPr="009E066B">
        <w:rPr>
          <w:rFonts w:ascii="Times New Roman" w:hAnsi="Times New Roman"/>
          <w:sz w:val="18"/>
          <w:szCs w:val="18"/>
        </w:rPr>
        <w:t xml:space="preserve">małżonka </w:t>
      </w:r>
      <w:r w:rsidRPr="009E066B">
        <w:rPr>
          <w:rFonts w:ascii="Times New Roman" w:hAnsi="Times New Roman"/>
          <w:i/>
          <w:sz w:val="16"/>
          <w:szCs w:val="18"/>
        </w:rPr>
        <w:t>(lub partnera uznawanego zgodnie z prawem krajowym za równoważnego z małżonkiem* nie dotyczy prawa polskiego)</w:t>
      </w:r>
      <w:r w:rsidRPr="009E066B">
        <w:rPr>
          <w:rFonts w:ascii="Times New Roman" w:hAnsi="Times New Roman"/>
          <w:sz w:val="18"/>
          <w:szCs w:val="18"/>
        </w:rPr>
        <w:t>,</w:t>
      </w:r>
    </w:p>
    <w:p w:rsidR="009E066B" w:rsidRPr="009E066B" w:rsidRDefault="009E066B" w:rsidP="00D23286">
      <w:pPr>
        <w:pStyle w:val="Akapitzlist"/>
        <w:numPr>
          <w:ilvl w:val="0"/>
          <w:numId w:val="5"/>
        </w:numPr>
        <w:spacing w:after="0" w:line="276" w:lineRule="auto"/>
        <w:jc w:val="both"/>
        <w:rPr>
          <w:rFonts w:ascii="Times New Roman" w:hAnsi="Times New Roman"/>
          <w:sz w:val="18"/>
          <w:szCs w:val="18"/>
        </w:rPr>
      </w:pPr>
      <w:r w:rsidRPr="009E066B">
        <w:rPr>
          <w:rFonts w:ascii="Times New Roman" w:hAnsi="Times New Roman"/>
          <w:sz w:val="18"/>
          <w:szCs w:val="18"/>
        </w:rPr>
        <w:t>dziecko będące na utrzymaniu zgodnie z prawem polskim,</w:t>
      </w:r>
    </w:p>
    <w:p w:rsidR="009E066B" w:rsidRPr="009E066B" w:rsidRDefault="009E066B" w:rsidP="00D23286">
      <w:pPr>
        <w:pStyle w:val="Akapitzlist"/>
        <w:numPr>
          <w:ilvl w:val="0"/>
          <w:numId w:val="5"/>
        </w:numPr>
        <w:spacing w:after="0" w:line="276" w:lineRule="auto"/>
        <w:jc w:val="both"/>
        <w:rPr>
          <w:rFonts w:ascii="Times New Roman" w:hAnsi="Times New Roman"/>
          <w:sz w:val="18"/>
          <w:szCs w:val="18"/>
        </w:rPr>
      </w:pPr>
      <w:r w:rsidRPr="009E066B">
        <w:rPr>
          <w:rFonts w:ascii="Times New Roman" w:hAnsi="Times New Roman"/>
          <w:sz w:val="18"/>
          <w:szCs w:val="18"/>
        </w:rPr>
        <w:t>członka rodziny, który w dniu danej transakcji pozostaje we wspólnym gospodarstwie domowym przez okres co najmniej roku,</w:t>
      </w:r>
    </w:p>
    <w:p w:rsidR="009E066B" w:rsidRPr="009E066B" w:rsidRDefault="009E066B" w:rsidP="00D23286">
      <w:pPr>
        <w:pStyle w:val="Akapitzlist"/>
        <w:numPr>
          <w:ilvl w:val="0"/>
          <w:numId w:val="5"/>
        </w:numPr>
        <w:spacing w:after="120" w:line="276" w:lineRule="auto"/>
        <w:ind w:left="714" w:hanging="357"/>
        <w:contextualSpacing w:val="0"/>
        <w:jc w:val="both"/>
        <w:rPr>
          <w:rFonts w:ascii="Times New Roman" w:hAnsi="Times New Roman"/>
          <w:sz w:val="18"/>
          <w:szCs w:val="18"/>
        </w:rPr>
      </w:pPr>
      <w:r w:rsidRPr="009E066B">
        <w:rPr>
          <w:rFonts w:ascii="Times New Roman" w:hAnsi="Times New Roman"/>
          <w:sz w:val="18"/>
          <w:szCs w:val="18"/>
        </w:rPr>
        <w:t>osobę prawną, grupę przedsiębiorstw lub spółkę osobową, w której obowiązki zarządcze pełni osoba pełniąca obowiązki zarządcze lub osoba, o której mowa w lit. a), b) lub c), nad którą osoba taka sprawuje pośrednią lub bezpośrednią kontrolę, która została utworzona, by przynosić korzyści takiej osobie, lub której interesy gospodarcze są w znacznym stopniu zbieżne z interesami takiej osoby.</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Dla celów Rozporządzenia MAR „</w:t>
      </w:r>
      <w:r w:rsidRPr="006A2FDA">
        <w:rPr>
          <w:rFonts w:ascii="Times New Roman" w:hAnsi="Times New Roman"/>
          <w:b/>
          <w:sz w:val="18"/>
          <w:szCs w:val="18"/>
        </w:rPr>
        <w:t>instrument finansowy</w:t>
      </w:r>
      <w:r w:rsidRPr="006A2FDA">
        <w:rPr>
          <w:rFonts w:ascii="Times New Roman" w:hAnsi="Times New Roman"/>
          <w:sz w:val="18"/>
          <w:szCs w:val="18"/>
        </w:rPr>
        <w:t>” w rozumieniu art. 3 ust. 1 pkt 1) Rozporządzenia MAR oznacza instrument finansowy w rozumieniu art. 4 ust. 1 pkt 15 dyrektywy 2014/65/UE, tj.:</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zbywalne papiery wartościowe,</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instrumenty rynku pieniężnego,</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jednostki uczestnictwa w przedsiębiorstwach zbiorowego inwestowania,</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 xml:space="preserve">transakcje </w:t>
      </w:r>
      <w:proofErr w:type="spellStart"/>
      <w:r w:rsidRPr="009E066B">
        <w:rPr>
          <w:rFonts w:ascii="Times New Roman" w:hAnsi="Times New Roman"/>
          <w:sz w:val="18"/>
          <w:szCs w:val="18"/>
        </w:rPr>
        <w:t>opcyjne</w:t>
      </w:r>
      <w:proofErr w:type="spellEnd"/>
      <w:r w:rsidRPr="009E066B">
        <w:rPr>
          <w:rFonts w:ascii="Times New Roman" w:hAnsi="Times New Roman"/>
          <w:sz w:val="18"/>
          <w:szCs w:val="18"/>
        </w:rPr>
        <w:t xml:space="preserve">, transakcje typu </w:t>
      </w:r>
      <w:proofErr w:type="spellStart"/>
      <w:r w:rsidRPr="009E066B">
        <w:rPr>
          <w:rFonts w:ascii="Times New Roman" w:hAnsi="Times New Roman"/>
          <w:sz w:val="18"/>
          <w:szCs w:val="18"/>
        </w:rPr>
        <w:t>futures</w:t>
      </w:r>
      <w:proofErr w:type="spellEnd"/>
      <w:r w:rsidRPr="009E066B">
        <w:rPr>
          <w:rFonts w:ascii="Times New Roman" w:hAnsi="Times New Roman"/>
          <w:sz w:val="18"/>
          <w:szCs w:val="18"/>
        </w:rPr>
        <w:t xml:space="preserve">, </w:t>
      </w:r>
      <w:proofErr w:type="spellStart"/>
      <w:r w:rsidRPr="009E066B">
        <w:rPr>
          <w:rFonts w:ascii="Times New Roman" w:hAnsi="Times New Roman"/>
          <w:sz w:val="18"/>
          <w:szCs w:val="18"/>
        </w:rPr>
        <w:t>swap</w:t>
      </w:r>
      <w:proofErr w:type="spellEnd"/>
      <w:r w:rsidRPr="009E066B">
        <w:rPr>
          <w:rFonts w:ascii="Times New Roman" w:hAnsi="Times New Roman"/>
          <w:sz w:val="18"/>
          <w:szCs w:val="18"/>
        </w:rPr>
        <w:t xml:space="preserve">, kontrakty terminowe typu </w:t>
      </w:r>
      <w:proofErr w:type="spellStart"/>
      <w:r w:rsidRPr="009E066B">
        <w:rPr>
          <w:rFonts w:ascii="Times New Roman" w:hAnsi="Times New Roman"/>
          <w:sz w:val="18"/>
          <w:szCs w:val="18"/>
        </w:rPr>
        <w:t>forward</w:t>
      </w:r>
      <w:proofErr w:type="spellEnd"/>
      <w:r w:rsidRPr="009E066B">
        <w:rPr>
          <w:rFonts w:ascii="Times New Roman" w:hAnsi="Times New Roman"/>
          <w:sz w:val="18"/>
          <w:szCs w:val="18"/>
        </w:rPr>
        <w:t xml:space="preserve"> oraz wszelkie inne kontrakty pochodne dotyczące papierów wartościowych, instrumentów dewizowych, stóp procentowych lub oprocentowania, uprawnień do emisji lub innych instrumentów pochodnych, indeksów finansowych lub środków finansowych, które można rozliczać fizycznie lub w środkach pieniężnych,</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 xml:space="preserve">transakcje </w:t>
      </w:r>
      <w:proofErr w:type="spellStart"/>
      <w:r w:rsidRPr="009E066B">
        <w:rPr>
          <w:rFonts w:ascii="Times New Roman" w:hAnsi="Times New Roman"/>
          <w:sz w:val="18"/>
          <w:szCs w:val="18"/>
        </w:rPr>
        <w:t>opcyjne</w:t>
      </w:r>
      <w:proofErr w:type="spellEnd"/>
      <w:r w:rsidRPr="009E066B">
        <w:rPr>
          <w:rFonts w:ascii="Times New Roman" w:hAnsi="Times New Roman"/>
          <w:sz w:val="18"/>
          <w:szCs w:val="18"/>
        </w:rPr>
        <w:t xml:space="preserve">, transakcje typu </w:t>
      </w:r>
      <w:proofErr w:type="spellStart"/>
      <w:r w:rsidRPr="009E066B">
        <w:rPr>
          <w:rFonts w:ascii="Times New Roman" w:hAnsi="Times New Roman"/>
          <w:sz w:val="18"/>
          <w:szCs w:val="18"/>
        </w:rPr>
        <w:t>futures</w:t>
      </w:r>
      <w:proofErr w:type="spellEnd"/>
      <w:r w:rsidRPr="009E066B">
        <w:rPr>
          <w:rFonts w:ascii="Times New Roman" w:hAnsi="Times New Roman"/>
          <w:sz w:val="18"/>
          <w:szCs w:val="18"/>
        </w:rPr>
        <w:t xml:space="preserve">, </w:t>
      </w:r>
      <w:proofErr w:type="spellStart"/>
      <w:r w:rsidRPr="009E066B">
        <w:rPr>
          <w:rFonts w:ascii="Times New Roman" w:hAnsi="Times New Roman"/>
          <w:sz w:val="18"/>
          <w:szCs w:val="18"/>
        </w:rPr>
        <w:t>swap</w:t>
      </w:r>
      <w:proofErr w:type="spellEnd"/>
      <w:r w:rsidRPr="009E066B">
        <w:rPr>
          <w:rFonts w:ascii="Times New Roman" w:hAnsi="Times New Roman"/>
          <w:sz w:val="18"/>
          <w:szCs w:val="18"/>
        </w:rPr>
        <w:t xml:space="preserve">, kontrakty terminowe typu </w:t>
      </w:r>
      <w:proofErr w:type="spellStart"/>
      <w:r w:rsidRPr="009E066B">
        <w:rPr>
          <w:rFonts w:ascii="Times New Roman" w:hAnsi="Times New Roman"/>
          <w:sz w:val="18"/>
          <w:szCs w:val="18"/>
        </w:rPr>
        <w:t>forward</w:t>
      </w:r>
      <w:proofErr w:type="spellEnd"/>
      <w:r w:rsidRPr="009E066B">
        <w:rPr>
          <w:rFonts w:ascii="Times New Roman" w:hAnsi="Times New Roman"/>
          <w:sz w:val="18"/>
          <w:szCs w:val="18"/>
        </w:rPr>
        <w:t xml:space="preserve"> oraz wszelkie inne kontrakty pochodne dotyczące towarów, które muszą być rozliczane w środkach pieniężnych lub które mogą być rozliczane w środkach pieniężnych według uznania jednej ze stron, w przypadku innym niż niedotrzymanie warunków lub innego rodzaju zdarzenie skutkujące rozwiązaniem kontraktu,</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 xml:space="preserve">transakcje </w:t>
      </w:r>
      <w:proofErr w:type="spellStart"/>
      <w:r w:rsidRPr="009E066B">
        <w:rPr>
          <w:rFonts w:ascii="Times New Roman" w:hAnsi="Times New Roman"/>
          <w:sz w:val="18"/>
          <w:szCs w:val="18"/>
        </w:rPr>
        <w:t>opcyjne</w:t>
      </w:r>
      <w:proofErr w:type="spellEnd"/>
      <w:r w:rsidRPr="009E066B">
        <w:rPr>
          <w:rFonts w:ascii="Times New Roman" w:hAnsi="Times New Roman"/>
          <w:sz w:val="18"/>
          <w:szCs w:val="18"/>
        </w:rPr>
        <w:t xml:space="preserve">, transakcje typu </w:t>
      </w:r>
      <w:proofErr w:type="spellStart"/>
      <w:r w:rsidRPr="009E066B">
        <w:rPr>
          <w:rFonts w:ascii="Times New Roman" w:hAnsi="Times New Roman"/>
          <w:sz w:val="18"/>
          <w:szCs w:val="18"/>
        </w:rPr>
        <w:t>futures</w:t>
      </w:r>
      <w:proofErr w:type="spellEnd"/>
      <w:r w:rsidRPr="009E066B">
        <w:rPr>
          <w:rFonts w:ascii="Times New Roman" w:hAnsi="Times New Roman"/>
          <w:sz w:val="18"/>
          <w:szCs w:val="18"/>
        </w:rPr>
        <w:t xml:space="preserve">, </w:t>
      </w:r>
      <w:proofErr w:type="spellStart"/>
      <w:r w:rsidRPr="009E066B">
        <w:rPr>
          <w:rFonts w:ascii="Times New Roman" w:hAnsi="Times New Roman"/>
          <w:sz w:val="18"/>
          <w:szCs w:val="18"/>
        </w:rPr>
        <w:t>swapy</w:t>
      </w:r>
      <w:proofErr w:type="spellEnd"/>
      <w:r w:rsidRPr="009E066B">
        <w:rPr>
          <w:rFonts w:ascii="Times New Roman" w:hAnsi="Times New Roman"/>
          <w:sz w:val="18"/>
          <w:szCs w:val="18"/>
        </w:rPr>
        <w:t xml:space="preserve"> oraz wszelkie inne kontrakty pochodne dotyczące towarów, które można rozliczać fizycznie, pod warunkiem że podlegają one obrotowi na rynku regulowanym, MTF lub OTF, z </w:t>
      </w:r>
      <w:r w:rsidRPr="009E066B">
        <w:rPr>
          <w:rFonts w:ascii="Times New Roman" w:hAnsi="Times New Roman"/>
          <w:sz w:val="18"/>
          <w:szCs w:val="18"/>
        </w:rPr>
        <w:lastRenderedPageBreak/>
        <w:t>wyjątkiem produktów energetycznych sprzedawanych w obrocie hurtowym, stanowiących przedmiot obrotu na OTF, które muszą być rozliczane fizycznie;</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 xml:space="preserve">transakcje </w:t>
      </w:r>
      <w:proofErr w:type="spellStart"/>
      <w:r w:rsidRPr="009E066B">
        <w:rPr>
          <w:rFonts w:ascii="Times New Roman" w:hAnsi="Times New Roman"/>
          <w:sz w:val="18"/>
          <w:szCs w:val="18"/>
        </w:rPr>
        <w:t>opcyjne</w:t>
      </w:r>
      <w:proofErr w:type="spellEnd"/>
      <w:r w:rsidRPr="009E066B">
        <w:rPr>
          <w:rFonts w:ascii="Times New Roman" w:hAnsi="Times New Roman"/>
          <w:sz w:val="18"/>
          <w:szCs w:val="18"/>
        </w:rPr>
        <w:t xml:space="preserve">, transakcje typu </w:t>
      </w:r>
      <w:proofErr w:type="spellStart"/>
      <w:r w:rsidRPr="009E066B">
        <w:rPr>
          <w:rFonts w:ascii="Times New Roman" w:hAnsi="Times New Roman"/>
          <w:sz w:val="18"/>
          <w:szCs w:val="18"/>
        </w:rPr>
        <w:t>futures</w:t>
      </w:r>
      <w:proofErr w:type="spellEnd"/>
      <w:r w:rsidRPr="009E066B">
        <w:rPr>
          <w:rFonts w:ascii="Times New Roman" w:hAnsi="Times New Roman"/>
          <w:sz w:val="18"/>
          <w:szCs w:val="18"/>
        </w:rPr>
        <w:t xml:space="preserve">, </w:t>
      </w:r>
      <w:proofErr w:type="spellStart"/>
      <w:r w:rsidRPr="009E066B">
        <w:rPr>
          <w:rFonts w:ascii="Times New Roman" w:hAnsi="Times New Roman"/>
          <w:sz w:val="18"/>
          <w:szCs w:val="18"/>
        </w:rPr>
        <w:t>swap</w:t>
      </w:r>
      <w:proofErr w:type="spellEnd"/>
      <w:r w:rsidRPr="009E066B">
        <w:rPr>
          <w:rFonts w:ascii="Times New Roman" w:hAnsi="Times New Roman"/>
          <w:sz w:val="18"/>
          <w:szCs w:val="18"/>
        </w:rPr>
        <w:t xml:space="preserve">, kontrakty terminowe typu </w:t>
      </w:r>
      <w:proofErr w:type="spellStart"/>
      <w:r w:rsidRPr="009E066B">
        <w:rPr>
          <w:rFonts w:ascii="Times New Roman" w:hAnsi="Times New Roman"/>
          <w:sz w:val="18"/>
          <w:szCs w:val="18"/>
        </w:rPr>
        <w:t>forward</w:t>
      </w:r>
      <w:proofErr w:type="spellEnd"/>
      <w:r w:rsidRPr="009E066B">
        <w:rPr>
          <w:rFonts w:ascii="Times New Roman" w:hAnsi="Times New Roman"/>
          <w:sz w:val="18"/>
          <w:szCs w:val="18"/>
        </w:rPr>
        <w:t xml:space="preserve"> oraz wszelkie inne kontrakty pochodne dotyczące towarów, które można rozliczać fizycznie oraz które nie zostały wymienione w inny sposób w lit. h) i które nie są przeznaczone do celów handlowych i wykazują właściwości innych pochodnych instrumentów finansowych,</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instrumenty pochodne dotyczące przenoszenia ryzyka kredytowego,</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kontrakty finansowe na transakcje różnicowe,</w:t>
      </w:r>
    </w:p>
    <w:p w:rsidR="009E066B" w:rsidRPr="009E066B" w:rsidRDefault="009E066B" w:rsidP="00D23286">
      <w:pPr>
        <w:pStyle w:val="Akapitzlist"/>
        <w:numPr>
          <w:ilvl w:val="0"/>
          <w:numId w:val="6"/>
        </w:numPr>
        <w:spacing w:after="0" w:line="276" w:lineRule="auto"/>
        <w:jc w:val="both"/>
        <w:rPr>
          <w:rFonts w:ascii="Times New Roman" w:hAnsi="Times New Roman"/>
          <w:sz w:val="18"/>
          <w:szCs w:val="18"/>
        </w:rPr>
      </w:pPr>
      <w:r w:rsidRPr="009E066B">
        <w:rPr>
          <w:rFonts w:ascii="Times New Roman" w:hAnsi="Times New Roman"/>
          <w:sz w:val="18"/>
          <w:szCs w:val="18"/>
        </w:rPr>
        <w:t xml:space="preserve">transakcje </w:t>
      </w:r>
      <w:proofErr w:type="spellStart"/>
      <w:r w:rsidRPr="009E066B">
        <w:rPr>
          <w:rFonts w:ascii="Times New Roman" w:hAnsi="Times New Roman"/>
          <w:sz w:val="18"/>
          <w:szCs w:val="18"/>
        </w:rPr>
        <w:t>opcyjne</w:t>
      </w:r>
      <w:proofErr w:type="spellEnd"/>
      <w:r w:rsidRPr="009E066B">
        <w:rPr>
          <w:rFonts w:ascii="Times New Roman" w:hAnsi="Times New Roman"/>
          <w:sz w:val="18"/>
          <w:szCs w:val="18"/>
        </w:rPr>
        <w:t xml:space="preserve">, transakcje typu </w:t>
      </w:r>
      <w:proofErr w:type="spellStart"/>
      <w:r w:rsidRPr="009E066B">
        <w:rPr>
          <w:rFonts w:ascii="Times New Roman" w:hAnsi="Times New Roman"/>
          <w:sz w:val="18"/>
          <w:szCs w:val="18"/>
        </w:rPr>
        <w:t>futures</w:t>
      </w:r>
      <w:proofErr w:type="spellEnd"/>
      <w:r w:rsidRPr="009E066B">
        <w:rPr>
          <w:rFonts w:ascii="Times New Roman" w:hAnsi="Times New Roman"/>
          <w:sz w:val="18"/>
          <w:szCs w:val="18"/>
        </w:rPr>
        <w:t xml:space="preserve">, </w:t>
      </w:r>
      <w:proofErr w:type="spellStart"/>
      <w:r w:rsidRPr="009E066B">
        <w:rPr>
          <w:rFonts w:ascii="Times New Roman" w:hAnsi="Times New Roman"/>
          <w:sz w:val="18"/>
          <w:szCs w:val="18"/>
        </w:rPr>
        <w:t>swapy</w:t>
      </w:r>
      <w:proofErr w:type="spellEnd"/>
      <w:r w:rsidRPr="009E066B">
        <w:rPr>
          <w:rFonts w:ascii="Times New Roman" w:hAnsi="Times New Roman"/>
          <w:sz w:val="18"/>
          <w:szCs w:val="18"/>
        </w:rPr>
        <w:t xml:space="preserve">, kontrakty terminowe typu </w:t>
      </w:r>
      <w:proofErr w:type="spellStart"/>
      <w:r w:rsidRPr="009E066B">
        <w:rPr>
          <w:rFonts w:ascii="Times New Roman" w:hAnsi="Times New Roman"/>
          <w:sz w:val="18"/>
          <w:szCs w:val="18"/>
        </w:rPr>
        <w:t>forward</w:t>
      </w:r>
      <w:proofErr w:type="spellEnd"/>
      <w:r w:rsidRPr="009E066B">
        <w:rPr>
          <w:rFonts w:ascii="Times New Roman" w:hAnsi="Times New Roman"/>
          <w:sz w:val="18"/>
          <w:szCs w:val="18"/>
        </w:rPr>
        <w:t xml:space="preserve"> oraz wszelkie inne kontrakty pochodne odnoszące się do stawek klimatycznych, opłat przewozowych lub stóp inflacji lub innych urzędowych danych statystycznych, które muszą być rozliczane w środkach pieniężnych lub można rozliczać w środkach pieniężnych według uznania jednej ze stron w przypadku innym niż niedotrzymanie warunków lub innego rodzaju zdarzenia skutkującego rozwiązaniem kontraktu, a także wszelkiego rodzaju inne kontrakty pochodne dotyczące aktywów, praw, zobowiązań, indeksów oraz środków niewymienionych gdzie indziej w tej sekcji, które wykazują właściwości innych pochodnych instrumentów finansowych, uwzględniając, między innymi, czy podlegają one obrotowi na rynku regulowanym, OTF lub MTF,</w:t>
      </w:r>
    </w:p>
    <w:p w:rsidR="009E066B" w:rsidRPr="009E066B" w:rsidRDefault="009E066B" w:rsidP="00D23286">
      <w:pPr>
        <w:pStyle w:val="Akapitzlist"/>
        <w:numPr>
          <w:ilvl w:val="0"/>
          <w:numId w:val="6"/>
        </w:numPr>
        <w:spacing w:after="120" w:line="276" w:lineRule="auto"/>
        <w:ind w:left="714" w:hanging="357"/>
        <w:contextualSpacing w:val="0"/>
        <w:jc w:val="both"/>
        <w:rPr>
          <w:rFonts w:ascii="Times New Roman" w:hAnsi="Times New Roman"/>
          <w:sz w:val="18"/>
          <w:szCs w:val="18"/>
        </w:rPr>
      </w:pPr>
      <w:r w:rsidRPr="009E066B">
        <w:rPr>
          <w:rFonts w:ascii="Times New Roman" w:hAnsi="Times New Roman"/>
          <w:sz w:val="18"/>
          <w:szCs w:val="18"/>
        </w:rPr>
        <w:t>uprawnienia do emisji obejmujące dowolne jednostki uznane za spełniające wymogi dyrektywy 2003/87/WE (system handlu uprawnieniami do emisji).</w:t>
      </w:r>
    </w:p>
    <w:p w:rsidR="009E066B" w:rsidRDefault="009E066B" w:rsidP="00D23286">
      <w:pPr>
        <w:pStyle w:val="Akapitzlist"/>
        <w:numPr>
          <w:ilvl w:val="0"/>
          <w:numId w:val="3"/>
        </w:numPr>
        <w:shd w:val="clear" w:color="auto" w:fill="D9E2F3" w:themeFill="accent5" w:themeFillTint="33"/>
        <w:spacing w:after="120" w:line="276" w:lineRule="auto"/>
        <w:ind w:left="284" w:hanging="284"/>
        <w:jc w:val="both"/>
        <w:rPr>
          <w:rFonts w:ascii="Times New Roman" w:hAnsi="Times New Roman"/>
          <w:sz w:val="18"/>
          <w:szCs w:val="18"/>
        </w:rPr>
      </w:pPr>
      <w:r w:rsidRPr="006A2FDA">
        <w:rPr>
          <w:rFonts w:ascii="Times New Roman" w:hAnsi="Times New Roman"/>
          <w:sz w:val="18"/>
          <w:szCs w:val="18"/>
        </w:rPr>
        <w:t xml:space="preserve">Osoby pełniące obowiązki zarządcze oraz osoby blisko z nimi związane </w:t>
      </w:r>
      <w:r w:rsidRPr="006A2FDA">
        <w:rPr>
          <w:rFonts w:ascii="Times New Roman" w:hAnsi="Times New Roman"/>
          <w:b/>
          <w:sz w:val="18"/>
          <w:szCs w:val="18"/>
        </w:rPr>
        <w:t>powiadamiają Fundusz</w:t>
      </w:r>
      <w:r w:rsidRPr="006A2FDA">
        <w:rPr>
          <w:rFonts w:ascii="Times New Roman" w:hAnsi="Times New Roman"/>
          <w:sz w:val="18"/>
          <w:szCs w:val="18"/>
        </w:rPr>
        <w:t xml:space="preserve"> oraz </w:t>
      </w:r>
      <w:r w:rsidRPr="006A2FDA">
        <w:rPr>
          <w:rFonts w:ascii="Times New Roman" w:hAnsi="Times New Roman"/>
          <w:b/>
          <w:sz w:val="18"/>
          <w:szCs w:val="18"/>
        </w:rPr>
        <w:t>właściwy organ</w:t>
      </w:r>
      <w:r w:rsidRPr="006A2FDA">
        <w:rPr>
          <w:rFonts w:ascii="Times New Roman" w:hAnsi="Times New Roman"/>
          <w:sz w:val="18"/>
          <w:szCs w:val="18"/>
        </w:rPr>
        <w:t xml:space="preserve"> (Komisję Nadzoru Finansowego, zwaną dalej „</w:t>
      </w:r>
      <w:r w:rsidRPr="006A2FDA">
        <w:rPr>
          <w:rFonts w:ascii="Times New Roman" w:hAnsi="Times New Roman"/>
          <w:b/>
          <w:sz w:val="18"/>
          <w:szCs w:val="18"/>
        </w:rPr>
        <w:t>KNF</w:t>
      </w:r>
      <w:r w:rsidRPr="006A2FDA">
        <w:rPr>
          <w:rFonts w:ascii="Times New Roman" w:hAnsi="Times New Roman"/>
          <w:sz w:val="18"/>
          <w:szCs w:val="18"/>
        </w:rPr>
        <w:t xml:space="preserve">”), </w:t>
      </w:r>
      <w:r w:rsidRPr="006A2FDA">
        <w:rPr>
          <w:rFonts w:ascii="Times New Roman" w:hAnsi="Times New Roman"/>
          <w:b/>
          <w:sz w:val="18"/>
          <w:szCs w:val="18"/>
        </w:rPr>
        <w:t>o każdej transakcji zawieranej na ich własny rachunek</w:t>
      </w:r>
      <w:r w:rsidRPr="006A2FDA">
        <w:rPr>
          <w:rFonts w:ascii="Times New Roman" w:hAnsi="Times New Roman"/>
          <w:sz w:val="18"/>
          <w:szCs w:val="18"/>
        </w:rPr>
        <w:t xml:space="preserve"> </w:t>
      </w:r>
      <w:r w:rsidRPr="00384125">
        <w:rPr>
          <w:rFonts w:ascii="Times New Roman" w:hAnsi="Times New Roman"/>
          <w:b/>
          <w:sz w:val="18"/>
          <w:szCs w:val="18"/>
        </w:rPr>
        <w:t>w odniesieniu do certyfikatów inwestycyjnych Funduszu lub do instrumentów pochodnych bądź innych powiązanych z nimi instrumentów finansowych (obowiązek raportowania o transakcji równolegle do Funduszu oraz KNF)</w:t>
      </w:r>
      <w:r w:rsidRPr="006A2FDA">
        <w:rPr>
          <w:rFonts w:ascii="Times New Roman" w:hAnsi="Times New Roman"/>
          <w:sz w:val="18"/>
          <w:szCs w:val="18"/>
        </w:rPr>
        <w:t xml:space="preserve">. </w:t>
      </w:r>
    </w:p>
    <w:p w:rsidR="009E066B" w:rsidRDefault="009E066B" w:rsidP="009E066B">
      <w:pPr>
        <w:shd w:val="clear" w:color="auto" w:fill="D9E2F3"/>
        <w:spacing w:before="120" w:after="120" w:line="276" w:lineRule="auto"/>
        <w:jc w:val="both"/>
        <w:rPr>
          <w:rFonts w:ascii="Times New Roman" w:hAnsi="Times New Roman"/>
          <w:sz w:val="18"/>
          <w:szCs w:val="18"/>
        </w:rPr>
      </w:pPr>
      <w:r w:rsidRPr="008448C1">
        <w:rPr>
          <w:rFonts w:ascii="Times New Roman" w:hAnsi="Times New Roman"/>
          <w:sz w:val="18"/>
          <w:szCs w:val="18"/>
        </w:rPr>
        <w:t xml:space="preserve">Takich powiadomień dokonuje się </w:t>
      </w:r>
      <w:r w:rsidRPr="008448C1">
        <w:rPr>
          <w:rFonts w:ascii="Times New Roman" w:hAnsi="Times New Roman"/>
          <w:b/>
          <w:sz w:val="18"/>
          <w:szCs w:val="18"/>
        </w:rPr>
        <w:t>niezwłocznie</w:t>
      </w:r>
      <w:r w:rsidRPr="008448C1">
        <w:rPr>
          <w:rFonts w:ascii="Times New Roman" w:hAnsi="Times New Roman"/>
          <w:sz w:val="18"/>
          <w:szCs w:val="18"/>
        </w:rPr>
        <w:t xml:space="preserve"> i </w:t>
      </w:r>
      <w:r w:rsidRPr="008448C1">
        <w:rPr>
          <w:rFonts w:ascii="Times New Roman" w:hAnsi="Times New Roman"/>
          <w:b/>
          <w:sz w:val="18"/>
          <w:szCs w:val="18"/>
        </w:rPr>
        <w:t>nie później niż</w:t>
      </w:r>
      <w:r w:rsidRPr="008448C1">
        <w:rPr>
          <w:rFonts w:ascii="Times New Roman" w:hAnsi="Times New Roman"/>
          <w:sz w:val="18"/>
          <w:szCs w:val="18"/>
        </w:rPr>
        <w:t xml:space="preserve"> </w:t>
      </w:r>
      <w:r w:rsidRPr="008448C1">
        <w:rPr>
          <w:rFonts w:ascii="Times New Roman" w:hAnsi="Times New Roman"/>
          <w:b/>
          <w:sz w:val="18"/>
          <w:szCs w:val="18"/>
        </w:rPr>
        <w:t>w trzy dni robocze</w:t>
      </w:r>
      <w:r w:rsidRPr="008448C1">
        <w:rPr>
          <w:rFonts w:ascii="Times New Roman" w:hAnsi="Times New Roman"/>
          <w:sz w:val="18"/>
          <w:szCs w:val="18"/>
        </w:rPr>
        <w:t xml:space="preserve"> po dniu transakcji (</w:t>
      </w:r>
      <w:r w:rsidRPr="008448C1">
        <w:rPr>
          <w:rFonts w:ascii="Times New Roman" w:hAnsi="Times New Roman"/>
          <w:b/>
          <w:sz w:val="18"/>
          <w:szCs w:val="18"/>
        </w:rPr>
        <w:t>obowiązek niezwłocznego raportowania</w:t>
      </w:r>
      <w:r w:rsidRPr="008448C1">
        <w:rPr>
          <w:rFonts w:ascii="Times New Roman" w:hAnsi="Times New Roman"/>
          <w:sz w:val="18"/>
          <w:szCs w:val="18"/>
        </w:rPr>
        <w:t>) (art. 19 ust. 1 Rozporządzenia MAR).</w:t>
      </w:r>
    </w:p>
    <w:p w:rsidR="009E066B" w:rsidRDefault="009E066B" w:rsidP="009E066B">
      <w:pPr>
        <w:shd w:val="clear" w:color="auto" w:fill="D9E2F3"/>
        <w:spacing w:before="120" w:after="120" w:line="276" w:lineRule="auto"/>
        <w:jc w:val="both"/>
        <w:rPr>
          <w:rFonts w:ascii="Times New Roman" w:hAnsi="Times New Roman"/>
          <w:i/>
          <w:sz w:val="18"/>
          <w:szCs w:val="18"/>
        </w:rPr>
      </w:pPr>
      <w:r w:rsidRPr="006A2FDA">
        <w:rPr>
          <w:rFonts w:ascii="Times New Roman" w:hAnsi="Times New Roman"/>
          <w:b/>
          <w:sz w:val="18"/>
          <w:szCs w:val="18"/>
        </w:rPr>
        <w:t xml:space="preserve">Fundusz </w:t>
      </w:r>
      <w:r>
        <w:rPr>
          <w:rFonts w:ascii="Times New Roman" w:hAnsi="Times New Roman"/>
          <w:b/>
          <w:sz w:val="18"/>
          <w:szCs w:val="18"/>
        </w:rPr>
        <w:t xml:space="preserve">/ </w:t>
      </w:r>
      <w:r w:rsidRPr="006A2FDA">
        <w:rPr>
          <w:rFonts w:ascii="Times New Roman" w:hAnsi="Times New Roman"/>
          <w:b/>
          <w:sz w:val="18"/>
          <w:szCs w:val="18"/>
        </w:rPr>
        <w:t>Towarzystwo zwraca uwagę, że obowiązek powiadamiania o transakcji powinien zostać wykonany niezwłocznie. Termin trzech dni roboczych stanowi jedynie górną granicę, której w żadnym wypadku nie wolno przekroczyć. Mając na uwadze powyższe, a także obowiązki nałożone na Fundusz / Towarzystwo, o których mowa w art. 19 ust. 3 Rozporządzenia MAR, rekomendowanym i wskazanym przez regulacje prawne jest niezwłoczne wykonywanie obowiązku, czyli bez zbędnej zwłoki</w:t>
      </w:r>
      <w:r w:rsidRPr="006A2FDA">
        <w:rPr>
          <w:rFonts w:ascii="Times New Roman" w:hAnsi="Times New Roman"/>
          <w:i/>
          <w:sz w:val="18"/>
          <w:szCs w:val="18"/>
        </w:rPr>
        <w:t xml:space="preserve">. </w:t>
      </w:r>
    </w:p>
    <w:p w:rsidR="009E066B" w:rsidRPr="00B63CC2" w:rsidRDefault="009E066B" w:rsidP="009E066B">
      <w:pPr>
        <w:shd w:val="clear" w:color="auto" w:fill="D9E2F3"/>
        <w:spacing w:before="120" w:after="120" w:line="276" w:lineRule="auto"/>
        <w:jc w:val="both"/>
        <w:rPr>
          <w:rFonts w:ascii="Times New Roman" w:hAnsi="Times New Roman"/>
          <w:b/>
          <w:sz w:val="18"/>
          <w:szCs w:val="18"/>
        </w:rPr>
      </w:pPr>
      <w:r w:rsidRPr="00B63CC2">
        <w:rPr>
          <w:rFonts w:ascii="Times New Roman" w:hAnsi="Times New Roman"/>
          <w:b/>
          <w:sz w:val="18"/>
          <w:szCs w:val="18"/>
        </w:rPr>
        <w:t>Wzór formularza powiadamiania o transakcjach dokonywanych przez osoby pełniące obowiązki zarządcze i osoby blisko z nimi związane, stanowi załącznik nr 4 do „Pisma skierowanego do osób pełniących obowiązki zarządcze”</w:t>
      </w:r>
      <w:r>
        <w:rPr>
          <w:rFonts w:ascii="Times New Roman" w:hAnsi="Times New Roman"/>
          <w:b/>
          <w:sz w:val="18"/>
          <w:szCs w:val="18"/>
        </w:rPr>
        <w:t>. F</w:t>
      </w:r>
      <w:r w:rsidRPr="00B63CC2">
        <w:rPr>
          <w:rFonts w:ascii="Times New Roman" w:hAnsi="Times New Roman"/>
          <w:b/>
          <w:sz w:val="18"/>
          <w:szCs w:val="18"/>
        </w:rPr>
        <w:t xml:space="preserve">ormularz </w:t>
      </w:r>
      <w:r>
        <w:rPr>
          <w:rFonts w:ascii="Times New Roman" w:hAnsi="Times New Roman"/>
          <w:b/>
          <w:sz w:val="18"/>
          <w:szCs w:val="18"/>
        </w:rPr>
        <w:t xml:space="preserve">ten </w:t>
      </w:r>
      <w:r w:rsidRPr="00B63CC2">
        <w:rPr>
          <w:rFonts w:ascii="Times New Roman" w:hAnsi="Times New Roman"/>
          <w:b/>
          <w:sz w:val="18"/>
          <w:szCs w:val="18"/>
        </w:rPr>
        <w:t xml:space="preserve">jest </w:t>
      </w:r>
      <w:r>
        <w:rPr>
          <w:rFonts w:ascii="Times New Roman" w:hAnsi="Times New Roman"/>
          <w:b/>
          <w:sz w:val="18"/>
          <w:szCs w:val="18"/>
        </w:rPr>
        <w:t xml:space="preserve">również </w:t>
      </w:r>
      <w:r w:rsidRPr="00B63CC2">
        <w:rPr>
          <w:rFonts w:ascii="Times New Roman" w:hAnsi="Times New Roman"/>
          <w:b/>
          <w:sz w:val="18"/>
          <w:szCs w:val="18"/>
        </w:rPr>
        <w:t xml:space="preserve">dostępny w formie elektronicznej w wersji edytowalnej i przeznaczonej do druku na stronie internetowej              </w:t>
      </w:r>
      <w:proofErr w:type="spellStart"/>
      <w:r>
        <w:rPr>
          <w:rFonts w:ascii="Times New Roman" w:hAnsi="Times New Roman"/>
          <w:b/>
          <w:sz w:val="18"/>
          <w:szCs w:val="18"/>
        </w:rPr>
        <w:t>Origin</w:t>
      </w:r>
      <w:proofErr w:type="spellEnd"/>
      <w:r w:rsidRPr="00B63CC2">
        <w:rPr>
          <w:rFonts w:ascii="Times New Roman" w:hAnsi="Times New Roman"/>
          <w:b/>
          <w:sz w:val="18"/>
          <w:szCs w:val="18"/>
        </w:rPr>
        <w:t xml:space="preserve"> Towarzystwo Funduszy Inwestycyjnych S.A.: http://www.</w:t>
      </w:r>
      <w:r>
        <w:rPr>
          <w:rFonts w:ascii="Times New Roman" w:hAnsi="Times New Roman"/>
          <w:b/>
          <w:sz w:val="18"/>
          <w:szCs w:val="18"/>
        </w:rPr>
        <w:t>origin</w:t>
      </w:r>
      <w:r w:rsidRPr="00B63CC2">
        <w:rPr>
          <w:rFonts w:ascii="Times New Roman" w:hAnsi="Times New Roman"/>
          <w:b/>
          <w:sz w:val="18"/>
          <w:szCs w:val="18"/>
        </w:rPr>
        <w:t>tfi.com.</w:t>
      </w:r>
    </w:p>
    <w:p w:rsidR="009E066B" w:rsidRPr="008448C1"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 xml:space="preserve">Obowiązek powiadomienia, o którym mowa w pkt 5 ma zastosowanie, gdy </w:t>
      </w:r>
      <w:r w:rsidRPr="006A2FDA">
        <w:rPr>
          <w:rFonts w:ascii="Times New Roman" w:hAnsi="Times New Roman"/>
          <w:b/>
          <w:sz w:val="18"/>
          <w:szCs w:val="18"/>
        </w:rPr>
        <w:t xml:space="preserve">łączna kwota transakcji osiągnie próg </w:t>
      </w:r>
      <w:r w:rsidRPr="006A2FDA">
        <w:rPr>
          <w:rFonts w:ascii="Times New Roman" w:hAnsi="Times New Roman"/>
          <w:sz w:val="18"/>
          <w:szCs w:val="18"/>
        </w:rPr>
        <w:t xml:space="preserve">określony w zależności od przypadku w art. 19 ust. 8 lub 9 Rozporządzenia MAR </w:t>
      </w:r>
      <w:r w:rsidRPr="006A2FDA">
        <w:rPr>
          <w:rFonts w:ascii="Times New Roman" w:hAnsi="Times New Roman"/>
          <w:b/>
          <w:sz w:val="18"/>
          <w:szCs w:val="18"/>
        </w:rPr>
        <w:t>w trakcie jednego roku kalendarzowego</w:t>
      </w:r>
      <w:r w:rsidRPr="006A2FDA">
        <w:rPr>
          <w:rFonts w:ascii="Times New Roman" w:hAnsi="Times New Roman"/>
          <w:sz w:val="18"/>
          <w:szCs w:val="18"/>
        </w:rPr>
        <w:t xml:space="preserve"> (art. 19 ust. 1 Rozporządzenia MAR).</w:t>
      </w:r>
      <w:r>
        <w:rPr>
          <w:rFonts w:ascii="Times New Roman" w:hAnsi="Times New Roman"/>
          <w:sz w:val="18"/>
          <w:szCs w:val="18"/>
        </w:rPr>
        <w:t xml:space="preserve"> </w:t>
      </w:r>
      <w:r w:rsidRPr="008448C1">
        <w:rPr>
          <w:rFonts w:ascii="Times New Roman" w:hAnsi="Times New Roman"/>
          <w:sz w:val="18"/>
          <w:szCs w:val="18"/>
        </w:rPr>
        <w:t>Oznacza to, że obowiązek powiadomienia ma zastosowanie do każdej kolejnej transakcji, gdy:</w:t>
      </w:r>
    </w:p>
    <w:p w:rsidR="009E066B" w:rsidRPr="009E066B" w:rsidRDefault="009E066B" w:rsidP="00D23286">
      <w:pPr>
        <w:pStyle w:val="Akapitzlist"/>
        <w:numPr>
          <w:ilvl w:val="0"/>
          <w:numId w:val="7"/>
        </w:numPr>
        <w:spacing w:after="0" w:line="276" w:lineRule="auto"/>
        <w:jc w:val="both"/>
        <w:rPr>
          <w:rFonts w:ascii="Times New Roman" w:hAnsi="Times New Roman"/>
          <w:sz w:val="18"/>
          <w:szCs w:val="18"/>
        </w:rPr>
      </w:pPr>
      <w:r w:rsidRPr="009E066B">
        <w:rPr>
          <w:rFonts w:ascii="Times New Roman" w:hAnsi="Times New Roman"/>
          <w:sz w:val="18"/>
          <w:szCs w:val="18"/>
        </w:rPr>
        <w:t xml:space="preserve">zostanie osiągnięta </w:t>
      </w:r>
      <w:r w:rsidRPr="009E066B">
        <w:rPr>
          <w:rFonts w:ascii="Times New Roman" w:hAnsi="Times New Roman"/>
          <w:b/>
          <w:sz w:val="18"/>
          <w:szCs w:val="18"/>
        </w:rPr>
        <w:t>łączna kwota 5.000 EUR</w:t>
      </w:r>
      <w:r w:rsidRPr="009E066B">
        <w:rPr>
          <w:rFonts w:ascii="Times New Roman" w:hAnsi="Times New Roman"/>
          <w:sz w:val="18"/>
          <w:szCs w:val="18"/>
        </w:rPr>
        <w:t xml:space="preserve"> w trakcie </w:t>
      </w:r>
      <w:r w:rsidRPr="009E066B">
        <w:rPr>
          <w:rFonts w:ascii="Times New Roman" w:hAnsi="Times New Roman"/>
          <w:b/>
          <w:sz w:val="18"/>
          <w:szCs w:val="18"/>
        </w:rPr>
        <w:t>jednego roku kalendarzowego</w:t>
      </w:r>
      <w:r w:rsidRPr="009E066B">
        <w:rPr>
          <w:rFonts w:ascii="Times New Roman" w:hAnsi="Times New Roman"/>
          <w:sz w:val="18"/>
          <w:szCs w:val="18"/>
        </w:rPr>
        <w:t>; próg w wysokości 5.000 EUR oblicza się poprzez dodanie bez kompensowania pozycji wszystkich transakcji, o których mowa w art. 19 ust. 1 Rozporządzenia MAR (</w:t>
      </w:r>
      <w:r w:rsidRPr="009E066B">
        <w:rPr>
          <w:rFonts w:ascii="Times New Roman" w:hAnsi="Times New Roman"/>
          <w:b/>
          <w:sz w:val="18"/>
          <w:szCs w:val="18"/>
        </w:rPr>
        <w:t>wartość progowa obowiązku raportowania</w:t>
      </w:r>
      <w:r w:rsidRPr="009E066B">
        <w:rPr>
          <w:rFonts w:ascii="Times New Roman" w:hAnsi="Times New Roman"/>
          <w:sz w:val="18"/>
          <w:szCs w:val="18"/>
        </w:rPr>
        <w:t>) (art. 19 ust 8 Rozporządzenia MAR), lub</w:t>
      </w:r>
    </w:p>
    <w:p w:rsidR="009E066B" w:rsidRPr="009E066B" w:rsidRDefault="009E066B" w:rsidP="00D23286">
      <w:pPr>
        <w:pStyle w:val="Akapitzlist"/>
        <w:numPr>
          <w:ilvl w:val="0"/>
          <w:numId w:val="7"/>
        </w:numPr>
        <w:spacing w:after="0" w:line="276" w:lineRule="auto"/>
        <w:jc w:val="both"/>
        <w:rPr>
          <w:rFonts w:ascii="Times New Roman" w:hAnsi="Times New Roman"/>
          <w:sz w:val="18"/>
          <w:szCs w:val="18"/>
        </w:rPr>
      </w:pPr>
      <w:r w:rsidRPr="009E066B">
        <w:rPr>
          <w:rFonts w:ascii="Times New Roman" w:hAnsi="Times New Roman"/>
          <w:sz w:val="18"/>
          <w:szCs w:val="18"/>
        </w:rPr>
        <w:t xml:space="preserve">zostanie osiągnięty </w:t>
      </w:r>
      <w:r w:rsidRPr="009E066B">
        <w:rPr>
          <w:rFonts w:ascii="Times New Roman" w:hAnsi="Times New Roman"/>
          <w:b/>
          <w:sz w:val="18"/>
          <w:szCs w:val="18"/>
        </w:rPr>
        <w:t>wyższy próg</w:t>
      </w:r>
      <w:r w:rsidRPr="009E066B">
        <w:rPr>
          <w:rFonts w:ascii="Times New Roman" w:hAnsi="Times New Roman"/>
          <w:sz w:val="18"/>
          <w:szCs w:val="18"/>
        </w:rPr>
        <w:t xml:space="preserve">, jeżeli właściwy organ podjął decyzję o podwyższeniu progu, o którym mowa w lit. a) </w:t>
      </w:r>
      <w:r w:rsidRPr="009E066B">
        <w:rPr>
          <w:rFonts w:ascii="Times New Roman" w:hAnsi="Times New Roman"/>
          <w:b/>
          <w:sz w:val="18"/>
          <w:szCs w:val="18"/>
        </w:rPr>
        <w:t>do kwoty 20.000 EUR</w:t>
      </w:r>
      <w:r w:rsidRPr="009E066B">
        <w:rPr>
          <w:rFonts w:ascii="Times New Roman" w:hAnsi="Times New Roman"/>
          <w:sz w:val="18"/>
          <w:szCs w:val="18"/>
        </w:rPr>
        <w:t xml:space="preserve"> (art. 19 ust. 9 Rozporządzenia MAR).</w:t>
      </w:r>
    </w:p>
    <w:p w:rsidR="009E066B" w:rsidRPr="008448C1" w:rsidRDefault="009E066B" w:rsidP="009E066B">
      <w:pPr>
        <w:spacing w:before="120" w:after="120" w:line="276" w:lineRule="auto"/>
        <w:ind w:left="284"/>
        <w:jc w:val="both"/>
        <w:rPr>
          <w:rFonts w:ascii="Times New Roman" w:hAnsi="Times New Roman"/>
          <w:sz w:val="18"/>
          <w:szCs w:val="18"/>
        </w:rPr>
      </w:pPr>
      <w:r w:rsidRPr="008448C1">
        <w:rPr>
          <w:rFonts w:ascii="Times New Roman" w:hAnsi="Times New Roman"/>
          <w:b/>
          <w:sz w:val="18"/>
          <w:szCs w:val="18"/>
        </w:rPr>
        <w:t>Fundusz zwraca uwagę, że zakaz kompensowania oznacza, że liczy się „wartości bezwzględne” transakcji, a nie różnicę wartości transakcji na tego samego rodzaju instrumentach w związku z zawieraniem transakcji przeciwnych.</w:t>
      </w:r>
    </w:p>
    <w:p w:rsidR="009E066B" w:rsidRDefault="009E066B" w:rsidP="00D23286">
      <w:pPr>
        <w:pStyle w:val="Akapitzlist"/>
        <w:numPr>
          <w:ilvl w:val="0"/>
          <w:numId w:val="3"/>
        </w:numPr>
        <w:spacing w:after="120" w:line="276" w:lineRule="auto"/>
        <w:ind w:left="284" w:hanging="284"/>
        <w:jc w:val="both"/>
        <w:rPr>
          <w:rFonts w:ascii="Times New Roman" w:hAnsi="Times New Roman"/>
          <w:sz w:val="18"/>
          <w:szCs w:val="18"/>
        </w:rPr>
      </w:pPr>
      <w:r w:rsidRPr="006A2FDA">
        <w:rPr>
          <w:rFonts w:ascii="Times New Roman" w:hAnsi="Times New Roman"/>
          <w:sz w:val="18"/>
          <w:szCs w:val="18"/>
        </w:rPr>
        <w:t xml:space="preserve">Do celów art. 19 ust. 1 Rozporządzenia MAR oraz bez uszczerbku dla prawa państw członkowskich do ustanawiania obowiązków powiadamiania innych niż obowiązki, o których mowa w artykule 19 Rozporządzenia MAR, osoby, o których mowa w art. 19 ust. 1 Rozporządzenia MAR, </w:t>
      </w:r>
      <w:r w:rsidRPr="006A2FDA">
        <w:rPr>
          <w:rFonts w:ascii="Times New Roman" w:hAnsi="Times New Roman"/>
          <w:b/>
          <w:sz w:val="18"/>
          <w:szCs w:val="18"/>
        </w:rPr>
        <w:t>powiadamiają właściwy organ, tj. KNF o wszystkich transakcjach</w:t>
      </w:r>
      <w:r w:rsidRPr="006A2FDA">
        <w:rPr>
          <w:rFonts w:ascii="Times New Roman" w:hAnsi="Times New Roman"/>
          <w:sz w:val="18"/>
          <w:szCs w:val="18"/>
        </w:rPr>
        <w:t xml:space="preserve"> dokonywanych na własny rachunek przez te osoby.</w:t>
      </w:r>
    </w:p>
    <w:p w:rsidR="009E066B" w:rsidRPr="00CC7D22" w:rsidRDefault="009E066B" w:rsidP="009E066B">
      <w:pPr>
        <w:spacing w:before="120" w:after="120" w:line="276" w:lineRule="auto"/>
        <w:ind w:left="284"/>
        <w:jc w:val="both"/>
        <w:rPr>
          <w:rFonts w:ascii="Times New Roman" w:hAnsi="Times New Roman"/>
          <w:sz w:val="18"/>
          <w:szCs w:val="18"/>
        </w:rPr>
      </w:pPr>
      <w:r w:rsidRPr="00CC7D22">
        <w:rPr>
          <w:rFonts w:ascii="Times New Roman" w:hAnsi="Times New Roman"/>
          <w:sz w:val="18"/>
          <w:szCs w:val="18"/>
        </w:rPr>
        <w:t xml:space="preserve">Zasadami dotyczącymi powiadamiania, których muszą przestrzegać osoby, o których mowa w art. 19 ust. 1 Rozporządzenia MAR, są zasady państwa członkowskiego, w którym jest zarejestrowany Fundusz / Towarzystwo, tj. Polska. W ciągu </w:t>
      </w:r>
      <w:r w:rsidRPr="00CC7D22">
        <w:rPr>
          <w:rFonts w:ascii="Times New Roman" w:hAnsi="Times New Roman"/>
          <w:b/>
          <w:sz w:val="18"/>
          <w:szCs w:val="18"/>
        </w:rPr>
        <w:t>trzech dni roboczych od dnia transakcji</w:t>
      </w:r>
      <w:r w:rsidRPr="00CC7D22">
        <w:rPr>
          <w:rFonts w:ascii="Times New Roman" w:hAnsi="Times New Roman"/>
          <w:sz w:val="18"/>
          <w:szCs w:val="18"/>
        </w:rPr>
        <w:t xml:space="preserve"> powiadamia się właściwy organ, tj. KNF (art. 19 ust. 2 Rozporządzenia MAR).</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 xml:space="preserve">Fundusz / Towarzystwo zapewnia, aby informacje zgłoszone zgodnie z art. 19 ust. 1 Rozporządzenia MAR zostały podane do wiadomości publicznej niezwłocznie i nie później niż w terminie trzech dni roboczych od zawarcia transakcji w sposób </w:t>
      </w:r>
      <w:r w:rsidRPr="006A2FDA">
        <w:rPr>
          <w:rFonts w:ascii="Times New Roman" w:hAnsi="Times New Roman"/>
          <w:sz w:val="18"/>
          <w:szCs w:val="18"/>
        </w:rPr>
        <w:lastRenderedPageBreak/>
        <w:t>umożliwiający szybki i niedyskryminujący dostęp do tych informacji zgodnie z wykonawczymi standardami technicznymi, o których mowa w art. 17 ust. 10 lit. a) Rozporządzenia MAR (art. 19 ust. 3 Rozporządzenia MAR).</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 xml:space="preserve">Fundusz / Towarzystwo </w:t>
      </w:r>
      <w:r w:rsidRPr="006A2FDA">
        <w:rPr>
          <w:rFonts w:ascii="Times New Roman" w:hAnsi="Times New Roman"/>
          <w:b/>
          <w:sz w:val="18"/>
          <w:szCs w:val="18"/>
        </w:rPr>
        <w:t>powiadamia na piśmie</w:t>
      </w:r>
      <w:r w:rsidRPr="006A2FDA">
        <w:rPr>
          <w:rFonts w:ascii="Times New Roman" w:hAnsi="Times New Roman"/>
          <w:sz w:val="18"/>
          <w:szCs w:val="18"/>
        </w:rPr>
        <w:t xml:space="preserve"> </w:t>
      </w:r>
      <w:r w:rsidRPr="006A2FDA">
        <w:rPr>
          <w:rFonts w:ascii="Times New Roman" w:hAnsi="Times New Roman"/>
          <w:b/>
          <w:sz w:val="18"/>
          <w:szCs w:val="18"/>
        </w:rPr>
        <w:t>osoby pełniące obowiązki zarządcze</w:t>
      </w:r>
      <w:r w:rsidRPr="006A2FDA">
        <w:rPr>
          <w:rFonts w:ascii="Times New Roman" w:hAnsi="Times New Roman"/>
          <w:sz w:val="18"/>
          <w:szCs w:val="18"/>
        </w:rPr>
        <w:t xml:space="preserve"> o ich obowiązkach wynikających z artykułu 19 Rozporządzenia MAR. Fundusz / Towarzystwo sporządza listę wszystkich osób pełniących obowiązki zarządcze oraz osób blisko z nimi związanych (</w:t>
      </w:r>
      <w:r w:rsidRPr="006A2FDA">
        <w:rPr>
          <w:rFonts w:ascii="Times New Roman" w:hAnsi="Times New Roman"/>
          <w:b/>
          <w:sz w:val="18"/>
          <w:szCs w:val="18"/>
        </w:rPr>
        <w:t>obowiązek przekazania informacji o osobach blisko związanych</w:t>
      </w:r>
      <w:r w:rsidRPr="006A2FDA">
        <w:rPr>
          <w:rFonts w:ascii="Times New Roman" w:hAnsi="Times New Roman"/>
          <w:sz w:val="18"/>
          <w:szCs w:val="18"/>
        </w:rPr>
        <w:t xml:space="preserve">) (art. 19 ust. 5 Rozporządzenia MAR). </w:t>
      </w:r>
    </w:p>
    <w:p w:rsidR="009E066B" w:rsidRDefault="009E066B" w:rsidP="00D23286">
      <w:pPr>
        <w:pStyle w:val="Akapitzlist"/>
        <w:numPr>
          <w:ilvl w:val="0"/>
          <w:numId w:val="3"/>
        </w:numPr>
        <w:shd w:val="clear" w:color="auto" w:fill="D9E2F3" w:themeFill="accent5" w:themeFillTint="33"/>
        <w:spacing w:after="120" w:line="276" w:lineRule="auto"/>
        <w:ind w:left="284" w:hanging="284"/>
        <w:jc w:val="both"/>
        <w:rPr>
          <w:rFonts w:ascii="Times New Roman" w:hAnsi="Times New Roman"/>
          <w:sz w:val="18"/>
          <w:szCs w:val="18"/>
        </w:rPr>
      </w:pPr>
      <w:r w:rsidRPr="006A2FDA">
        <w:rPr>
          <w:rFonts w:ascii="Times New Roman" w:hAnsi="Times New Roman"/>
          <w:sz w:val="18"/>
          <w:szCs w:val="18"/>
        </w:rPr>
        <w:t>Osoby</w:t>
      </w:r>
      <w:r w:rsidRPr="006A2FDA">
        <w:rPr>
          <w:rFonts w:ascii="Times New Roman" w:hAnsi="Times New Roman"/>
          <w:b/>
          <w:sz w:val="18"/>
          <w:szCs w:val="18"/>
        </w:rPr>
        <w:t xml:space="preserve"> pełniące obowiązki zarządcze</w:t>
      </w:r>
      <w:r w:rsidRPr="006A2FDA">
        <w:rPr>
          <w:rFonts w:ascii="Times New Roman" w:hAnsi="Times New Roman"/>
          <w:sz w:val="18"/>
          <w:szCs w:val="18"/>
        </w:rPr>
        <w:t xml:space="preserve">, </w:t>
      </w:r>
      <w:r w:rsidRPr="006A2FDA">
        <w:rPr>
          <w:rFonts w:ascii="Times New Roman" w:hAnsi="Times New Roman"/>
          <w:b/>
          <w:sz w:val="18"/>
          <w:szCs w:val="18"/>
        </w:rPr>
        <w:t>powiadamiają na piśmie osoby blisko z nimi związane</w:t>
      </w:r>
      <w:r w:rsidRPr="006A2FDA">
        <w:rPr>
          <w:rFonts w:ascii="Times New Roman" w:hAnsi="Times New Roman"/>
          <w:sz w:val="18"/>
          <w:szCs w:val="18"/>
        </w:rPr>
        <w:t xml:space="preserve"> o ich obowiązkach wynikających z art. 19 Rozporządzenia MAR i przechowują kopię tego powiadomienia (</w:t>
      </w:r>
      <w:r w:rsidRPr="006A2FDA">
        <w:rPr>
          <w:rFonts w:ascii="Times New Roman" w:hAnsi="Times New Roman"/>
          <w:b/>
          <w:sz w:val="18"/>
          <w:szCs w:val="18"/>
        </w:rPr>
        <w:t>obowiązek powiadomienia osób blisko związanych o obowiązkach wynikających z art. 19 i przechowywania kopii powiadomienia</w:t>
      </w:r>
      <w:r w:rsidRPr="006A2FDA">
        <w:rPr>
          <w:rFonts w:ascii="Times New Roman" w:hAnsi="Times New Roman"/>
          <w:sz w:val="18"/>
          <w:szCs w:val="18"/>
        </w:rPr>
        <w:t>) (art. 19 ust. 5 Rozporządzenia MAR).</w:t>
      </w:r>
    </w:p>
    <w:p w:rsidR="009E066B" w:rsidRPr="00CC7D22" w:rsidRDefault="009E066B" w:rsidP="009E066B">
      <w:pPr>
        <w:shd w:val="clear" w:color="auto" w:fill="D9E2F3"/>
        <w:spacing w:before="120" w:after="120" w:line="276" w:lineRule="auto"/>
        <w:jc w:val="both"/>
        <w:rPr>
          <w:rFonts w:ascii="Times New Roman" w:hAnsi="Times New Roman"/>
          <w:sz w:val="18"/>
          <w:szCs w:val="18"/>
        </w:rPr>
      </w:pPr>
      <w:r w:rsidRPr="00CC7D22">
        <w:rPr>
          <w:rFonts w:ascii="Times New Roman" w:hAnsi="Times New Roman"/>
          <w:b/>
          <w:sz w:val="18"/>
          <w:szCs w:val="18"/>
        </w:rPr>
        <w:t>Obowiązek sporządzenia list wszystkich osób pełniących obowiązki zarządcze oraz osób blisko związanych jest niezależny od dokonania lub zamiaru dokonania transakcji przez osobę pełniącą obowiązki zarządcze lub osobę blisko związaną. Informacje o osobach pełniących obowiązki zarządcze i osobach blisko związanych zbierane i przetwarzane będą przez Fundusz w celu wykonania obowiązków nałożonych na emitenta - Fundusz w Rozporządzeniu MAR lub innych przepisach prawa.</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Powiadomienie</w:t>
      </w:r>
      <w:r w:rsidRPr="006A2FDA">
        <w:rPr>
          <w:rFonts w:ascii="Times New Roman" w:hAnsi="Times New Roman"/>
          <w:b/>
          <w:sz w:val="18"/>
          <w:szCs w:val="18"/>
        </w:rPr>
        <w:t xml:space="preserve"> o transakcjach</w:t>
      </w:r>
      <w:r w:rsidRPr="006A2FDA">
        <w:rPr>
          <w:rFonts w:ascii="Times New Roman" w:hAnsi="Times New Roman"/>
          <w:sz w:val="18"/>
          <w:szCs w:val="18"/>
        </w:rPr>
        <w:t>, o których mowa w art. 19 ust. 1 Rozporządzenia MAR, zawiera następujące informacje:</w:t>
      </w:r>
    </w:p>
    <w:p w:rsidR="009E066B" w:rsidRPr="002133BC" w:rsidRDefault="009E066B" w:rsidP="00D23286">
      <w:pPr>
        <w:pStyle w:val="Akapitzlist"/>
        <w:numPr>
          <w:ilvl w:val="0"/>
          <w:numId w:val="8"/>
        </w:numPr>
        <w:spacing w:after="0" w:line="276" w:lineRule="auto"/>
        <w:jc w:val="both"/>
        <w:rPr>
          <w:rFonts w:ascii="Times New Roman" w:hAnsi="Times New Roman"/>
          <w:sz w:val="18"/>
          <w:szCs w:val="18"/>
        </w:rPr>
      </w:pPr>
      <w:r w:rsidRPr="002133BC">
        <w:rPr>
          <w:rFonts w:ascii="Times New Roman" w:hAnsi="Times New Roman"/>
          <w:sz w:val="18"/>
          <w:szCs w:val="18"/>
        </w:rPr>
        <w:t>nazwisko osoby,</w:t>
      </w:r>
    </w:p>
    <w:p w:rsidR="009E066B" w:rsidRPr="002133BC" w:rsidRDefault="009E066B" w:rsidP="00D23286">
      <w:pPr>
        <w:pStyle w:val="Akapitzlist"/>
        <w:numPr>
          <w:ilvl w:val="0"/>
          <w:numId w:val="8"/>
        </w:numPr>
        <w:spacing w:after="0" w:line="276" w:lineRule="auto"/>
        <w:jc w:val="both"/>
        <w:rPr>
          <w:rFonts w:ascii="Times New Roman" w:hAnsi="Times New Roman"/>
          <w:sz w:val="18"/>
          <w:szCs w:val="18"/>
        </w:rPr>
      </w:pPr>
      <w:r w:rsidRPr="002133BC">
        <w:rPr>
          <w:rFonts w:ascii="Times New Roman" w:hAnsi="Times New Roman"/>
          <w:sz w:val="18"/>
          <w:szCs w:val="18"/>
        </w:rPr>
        <w:t>przyczynę powiadomienia,</w:t>
      </w:r>
    </w:p>
    <w:p w:rsidR="009E066B" w:rsidRPr="002133BC" w:rsidRDefault="009E066B" w:rsidP="00D23286">
      <w:pPr>
        <w:pStyle w:val="Akapitzlist"/>
        <w:numPr>
          <w:ilvl w:val="0"/>
          <w:numId w:val="8"/>
        </w:numPr>
        <w:spacing w:after="0" w:line="276" w:lineRule="auto"/>
        <w:jc w:val="both"/>
        <w:rPr>
          <w:rFonts w:ascii="Times New Roman" w:hAnsi="Times New Roman"/>
          <w:sz w:val="18"/>
          <w:szCs w:val="18"/>
        </w:rPr>
      </w:pPr>
      <w:r w:rsidRPr="002133BC">
        <w:rPr>
          <w:rFonts w:ascii="Times New Roman" w:hAnsi="Times New Roman"/>
          <w:sz w:val="18"/>
          <w:szCs w:val="18"/>
        </w:rPr>
        <w:t>nazwę Funduszu / Towarzystwa</w:t>
      </w:r>
    </w:p>
    <w:p w:rsidR="009E066B" w:rsidRPr="002133BC" w:rsidRDefault="009E066B" w:rsidP="00D23286">
      <w:pPr>
        <w:pStyle w:val="Akapitzlist"/>
        <w:numPr>
          <w:ilvl w:val="0"/>
          <w:numId w:val="8"/>
        </w:numPr>
        <w:spacing w:after="0" w:line="276" w:lineRule="auto"/>
        <w:jc w:val="both"/>
        <w:rPr>
          <w:rFonts w:ascii="Times New Roman" w:hAnsi="Times New Roman"/>
          <w:sz w:val="18"/>
          <w:szCs w:val="18"/>
        </w:rPr>
      </w:pPr>
      <w:r w:rsidRPr="002133BC">
        <w:rPr>
          <w:rFonts w:ascii="Times New Roman" w:hAnsi="Times New Roman"/>
          <w:sz w:val="18"/>
          <w:szCs w:val="18"/>
        </w:rPr>
        <w:t>opis i identyfikację instrumentu finansowego,</w:t>
      </w:r>
    </w:p>
    <w:p w:rsidR="009E066B" w:rsidRPr="002133BC" w:rsidRDefault="009E066B" w:rsidP="00D23286">
      <w:pPr>
        <w:pStyle w:val="Akapitzlist"/>
        <w:numPr>
          <w:ilvl w:val="0"/>
          <w:numId w:val="8"/>
        </w:numPr>
        <w:spacing w:after="0" w:line="276" w:lineRule="auto"/>
        <w:jc w:val="both"/>
        <w:rPr>
          <w:rFonts w:ascii="Times New Roman" w:hAnsi="Times New Roman"/>
          <w:sz w:val="18"/>
          <w:szCs w:val="18"/>
        </w:rPr>
      </w:pPr>
      <w:r w:rsidRPr="002133BC">
        <w:rPr>
          <w:rFonts w:ascii="Times New Roman" w:hAnsi="Times New Roman"/>
          <w:sz w:val="18"/>
          <w:szCs w:val="18"/>
        </w:rPr>
        <w:t>charakter transakcji (np. nabycie lub zbycie), ze wskazaniem, czy jest ona związana z wykonywaniem programów opcji na akcje lub z konkretnymi przypadkami określonymi w art. 19 ust. 7 Rozporządzenia MAR,</w:t>
      </w:r>
    </w:p>
    <w:p w:rsidR="009E066B" w:rsidRPr="002133BC" w:rsidRDefault="009E066B" w:rsidP="00D23286">
      <w:pPr>
        <w:pStyle w:val="Akapitzlist"/>
        <w:numPr>
          <w:ilvl w:val="0"/>
          <w:numId w:val="8"/>
        </w:numPr>
        <w:spacing w:after="0" w:line="276" w:lineRule="auto"/>
        <w:jc w:val="both"/>
        <w:rPr>
          <w:rFonts w:ascii="Times New Roman" w:hAnsi="Times New Roman"/>
          <w:sz w:val="18"/>
          <w:szCs w:val="18"/>
        </w:rPr>
      </w:pPr>
      <w:r w:rsidRPr="002133BC">
        <w:rPr>
          <w:rFonts w:ascii="Times New Roman" w:hAnsi="Times New Roman"/>
          <w:sz w:val="18"/>
          <w:szCs w:val="18"/>
        </w:rPr>
        <w:t>datę i miejsce transakcji,</w:t>
      </w:r>
    </w:p>
    <w:p w:rsidR="009E066B" w:rsidRPr="002133BC" w:rsidRDefault="009E066B" w:rsidP="00D23286">
      <w:pPr>
        <w:pStyle w:val="Akapitzlist"/>
        <w:numPr>
          <w:ilvl w:val="0"/>
          <w:numId w:val="8"/>
        </w:numPr>
        <w:spacing w:after="120" w:line="276" w:lineRule="auto"/>
        <w:ind w:left="714" w:hanging="357"/>
        <w:contextualSpacing w:val="0"/>
        <w:jc w:val="both"/>
        <w:rPr>
          <w:rFonts w:ascii="Times New Roman" w:hAnsi="Times New Roman"/>
          <w:sz w:val="18"/>
          <w:szCs w:val="18"/>
        </w:rPr>
      </w:pPr>
      <w:r w:rsidRPr="002133BC">
        <w:rPr>
          <w:rFonts w:ascii="Times New Roman" w:hAnsi="Times New Roman"/>
          <w:sz w:val="18"/>
          <w:szCs w:val="18"/>
        </w:rPr>
        <w:t xml:space="preserve">cenę i wolumen transakcji; w przypadku zastawu, którego warunki przewidują zmianę jego wartości, należy to ujawnić wraz z wartością na dzień ustanowienia zastawu (art. 19 ust 6 Rozporządzenia MAR). </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 xml:space="preserve">Do celów art. 19 ust. 1 Rozporządzenia MAR, </w:t>
      </w:r>
      <w:r w:rsidRPr="006A2FDA">
        <w:rPr>
          <w:rFonts w:ascii="Times New Roman" w:hAnsi="Times New Roman"/>
          <w:b/>
          <w:sz w:val="18"/>
          <w:szCs w:val="18"/>
        </w:rPr>
        <w:t>transakcje, które wymagają powiadomienia, obejmują także</w:t>
      </w:r>
      <w:r w:rsidRPr="006A2FDA">
        <w:rPr>
          <w:rFonts w:ascii="Times New Roman" w:hAnsi="Times New Roman"/>
          <w:sz w:val="18"/>
          <w:szCs w:val="18"/>
        </w:rPr>
        <w:t>:</w:t>
      </w:r>
    </w:p>
    <w:p w:rsidR="009E066B" w:rsidRPr="002133BC" w:rsidRDefault="009E066B" w:rsidP="00D23286">
      <w:pPr>
        <w:pStyle w:val="Akapitzlist"/>
        <w:numPr>
          <w:ilvl w:val="0"/>
          <w:numId w:val="9"/>
        </w:numPr>
        <w:spacing w:after="0" w:line="276" w:lineRule="auto"/>
        <w:jc w:val="both"/>
        <w:rPr>
          <w:rFonts w:ascii="Times New Roman" w:hAnsi="Times New Roman"/>
          <w:sz w:val="18"/>
          <w:szCs w:val="18"/>
        </w:rPr>
      </w:pPr>
      <w:r w:rsidRPr="002133BC">
        <w:rPr>
          <w:rFonts w:ascii="Times New Roman" w:hAnsi="Times New Roman"/>
          <w:sz w:val="18"/>
          <w:szCs w:val="18"/>
        </w:rPr>
        <w:t>transakcje zastawiania lub pożyczania instrumentów finansowych przez osobę pełniącą obowiązki zarządcze, lub w jej imieniu, lub osobę blisko z nią związaną, lub w jej imieniu, o których mowa w art. 19 ust. 1 Rozporządzenia MAR,</w:t>
      </w:r>
    </w:p>
    <w:p w:rsidR="009E066B" w:rsidRPr="002133BC" w:rsidRDefault="009E066B" w:rsidP="00D23286">
      <w:pPr>
        <w:pStyle w:val="Akapitzlist"/>
        <w:numPr>
          <w:ilvl w:val="0"/>
          <w:numId w:val="9"/>
        </w:numPr>
        <w:spacing w:after="0" w:line="276" w:lineRule="auto"/>
        <w:jc w:val="both"/>
        <w:rPr>
          <w:rFonts w:ascii="Times New Roman" w:hAnsi="Times New Roman"/>
          <w:sz w:val="18"/>
          <w:szCs w:val="18"/>
        </w:rPr>
      </w:pPr>
      <w:r w:rsidRPr="002133BC">
        <w:rPr>
          <w:rFonts w:ascii="Times New Roman" w:hAnsi="Times New Roman"/>
          <w:sz w:val="18"/>
          <w:szCs w:val="18"/>
        </w:rPr>
        <w:t>transakcje zawierane przez osobę zawodowo zajmującą się pośredniczeniem w zawieraniu transakcji lub wykonywaniu zleceń lub przez inną osobę w imieniu osoby pełniącej obowiązki zarządcze lub osoby blisko związanej z taką osobą, o której mowa w art. 19 ust. 1 Rozporządzenia MAR, włączając w to transakcje zawierane w ramach uznania,</w:t>
      </w:r>
    </w:p>
    <w:p w:rsidR="009E066B" w:rsidRPr="002133BC" w:rsidRDefault="009E066B" w:rsidP="00D23286">
      <w:pPr>
        <w:pStyle w:val="Akapitzlist"/>
        <w:numPr>
          <w:ilvl w:val="0"/>
          <w:numId w:val="9"/>
        </w:numPr>
        <w:spacing w:after="0" w:line="276" w:lineRule="auto"/>
        <w:jc w:val="both"/>
        <w:rPr>
          <w:rFonts w:ascii="Times New Roman" w:hAnsi="Times New Roman"/>
          <w:sz w:val="18"/>
          <w:szCs w:val="18"/>
        </w:rPr>
      </w:pPr>
      <w:r w:rsidRPr="002133BC">
        <w:rPr>
          <w:rFonts w:ascii="Times New Roman" w:hAnsi="Times New Roman"/>
          <w:sz w:val="18"/>
          <w:szCs w:val="18"/>
        </w:rPr>
        <w:t>transakcje dokonywane z tytułu polisy ubezpieczeniowej na życie, określonej w dyrektywie Parlamentu Europejskiego i Rady 2009/138/WE ( 1 ), w przypadku gdy:</w:t>
      </w:r>
    </w:p>
    <w:p w:rsidR="009E066B" w:rsidRPr="002133BC" w:rsidRDefault="009E066B" w:rsidP="00D23286">
      <w:pPr>
        <w:pStyle w:val="Akapitzlist"/>
        <w:numPr>
          <w:ilvl w:val="0"/>
          <w:numId w:val="10"/>
        </w:numPr>
        <w:spacing w:after="0" w:line="276" w:lineRule="auto"/>
        <w:jc w:val="both"/>
        <w:rPr>
          <w:rFonts w:ascii="Times New Roman" w:hAnsi="Times New Roman"/>
          <w:sz w:val="18"/>
          <w:szCs w:val="18"/>
        </w:rPr>
      </w:pPr>
      <w:r w:rsidRPr="002133BC">
        <w:rPr>
          <w:rFonts w:ascii="Times New Roman" w:hAnsi="Times New Roman"/>
          <w:sz w:val="18"/>
          <w:szCs w:val="18"/>
        </w:rPr>
        <w:t>ubezpieczającym jest osoba pełniąca obowiązki zarządcze lub osoba blisko związana z taką osobą, o których mowa w art. 19 ust. 1 Rozporządzenia MAR,</w:t>
      </w:r>
    </w:p>
    <w:p w:rsidR="009E066B" w:rsidRPr="002133BC" w:rsidRDefault="009E066B" w:rsidP="00D23286">
      <w:pPr>
        <w:pStyle w:val="Akapitzlist"/>
        <w:numPr>
          <w:ilvl w:val="0"/>
          <w:numId w:val="10"/>
        </w:numPr>
        <w:spacing w:after="0" w:line="276" w:lineRule="auto"/>
        <w:jc w:val="both"/>
        <w:rPr>
          <w:rFonts w:ascii="Times New Roman" w:hAnsi="Times New Roman"/>
          <w:sz w:val="18"/>
          <w:szCs w:val="18"/>
        </w:rPr>
      </w:pPr>
      <w:r w:rsidRPr="002133BC">
        <w:rPr>
          <w:rFonts w:ascii="Times New Roman" w:hAnsi="Times New Roman"/>
          <w:sz w:val="18"/>
          <w:szCs w:val="18"/>
        </w:rPr>
        <w:t>ryzyko inwestycyjne ponosi ubezpieczający,</w:t>
      </w:r>
    </w:p>
    <w:p w:rsidR="009E066B" w:rsidRPr="002133BC" w:rsidRDefault="009E066B" w:rsidP="00D23286">
      <w:pPr>
        <w:pStyle w:val="Akapitzlist"/>
        <w:numPr>
          <w:ilvl w:val="0"/>
          <w:numId w:val="10"/>
        </w:numPr>
        <w:spacing w:after="0" w:line="276" w:lineRule="auto"/>
        <w:jc w:val="both"/>
        <w:rPr>
          <w:rFonts w:ascii="Times New Roman" w:hAnsi="Times New Roman"/>
          <w:sz w:val="18"/>
          <w:szCs w:val="18"/>
        </w:rPr>
      </w:pPr>
      <w:r w:rsidRPr="002133BC">
        <w:rPr>
          <w:rFonts w:ascii="Times New Roman" w:hAnsi="Times New Roman"/>
          <w:sz w:val="18"/>
          <w:szCs w:val="18"/>
        </w:rPr>
        <w:t>ubezpieczający ma prawo lub swobodę podejmowania decyzji inwestycyjnych dotyczących konkretnych instrumentów w ramach tej polisy ubezpieczeniowej na życie lub wykonywania transakcji dotyczących konkretnych instrumentów w ramach tej polisy ubezpieczeniowej na życie.</w:t>
      </w:r>
    </w:p>
    <w:p w:rsidR="009E066B" w:rsidRPr="006A2FDA" w:rsidRDefault="009E066B" w:rsidP="009E066B">
      <w:pPr>
        <w:spacing w:before="120" w:after="0" w:line="276" w:lineRule="auto"/>
        <w:jc w:val="both"/>
        <w:rPr>
          <w:rFonts w:ascii="Times New Roman" w:hAnsi="Times New Roman"/>
          <w:sz w:val="18"/>
          <w:szCs w:val="18"/>
        </w:rPr>
      </w:pPr>
      <w:r w:rsidRPr="006A2FDA">
        <w:rPr>
          <w:rFonts w:ascii="Times New Roman" w:hAnsi="Times New Roman"/>
          <w:sz w:val="18"/>
          <w:szCs w:val="18"/>
        </w:rPr>
        <w:t>Do celów lit. a) zastaw na instrumentach finansowych – lub podobny rodzaj zabezpieczenia – związany ze zdeponowaniem instrumentów finansowych na rachunku powierniczym nie musi być przedmiotem powiadomienia, chyba że i do czasu gdy taki zastaw lub inne zabezpieczenie zostanie wskazane jako zabezpieczenie konkretnego rodzaju kredytu.</w:t>
      </w:r>
    </w:p>
    <w:p w:rsidR="009E066B" w:rsidRPr="006A2FDA" w:rsidRDefault="009E066B" w:rsidP="00163BE7">
      <w:pPr>
        <w:spacing w:before="120" w:after="120" w:line="276" w:lineRule="auto"/>
        <w:jc w:val="both"/>
        <w:rPr>
          <w:rFonts w:ascii="Times New Roman" w:hAnsi="Times New Roman"/>
          <w:sz w:val="18"/>
          <w:szCs w:val="18"/>
        </w:rPr>
      </w:pPr>
      <w:r>
        <w:rPr>
          <w:rFonts w:ascii="Times New Roman" w:hAnsi="Times New Roman"/>
          <w:sz w:val="18"/>
          <w:szCs w:val="18"/>
        </w:rPr>
        <w:t xml:space="preserve">O </w:t>
      </w:r>
      <w:r w:rsidRPr="006A2FDA">
        <w:rPr>
          <w:rFonts w:ascii="Times New Roman" w:hAnsi="Times New Roman"/>
          <w:sz w:val="18"/>
          <w:szCs w:val="18"/>
        </w:rPr>
        <w:t xml:space="preserve">ile ubezpieczający objęty umową ubezpieczenia podlega wymogowi powiadamiania o transakcjach zgodnie z niniejszym ustępem, obowiązek powiadamiania </w:t>
      </w:r>
      <w:r>
        <w:rPr>
          <w:rFonts w:ascii="Times New Roman" w:hAnsi="Times New Roman"/>
          <w:sz w:val="18"/>
          <w:szCs w:val="18"/>
        </w:rPr>
        <w:t xml:space="preserve">nie dotyczy zakładu ubezpieczeń </w:t>
      </w:r>
      <w:r w:rsidRPr="006A2FDA">
        <w:rPr>
          <w:rFonts w:ascii="Times New Roman" w:hAnsi="Times New Roman"/>
          <w:sz w:val="18"/>
          <w:szCs w:val="18"/>
        </w:rPr>
        <w:t>(art. 19 ust 6 Rozporządzenia MAR)</w:t>
      </w:r>
      <w:r>
        <w:rPr>
          <w:rFonts w:ascii="Times New Roman" w:hAnsi="Times New Roman"/>
          <w:sz w:val="18"/>
          <w:szCs w:val="18"/>
        </w:rPr>
        <w:t>.</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Bez uszczerbku dla art. 14 i 15 Rozporządzenia MAR (</w:t>
      </w:r>
      <w:r w:rsidRPr="006A2FDA">
        <w:rPr>
          <w:rFonts w:ascii="Times New Roman" w:hAnsi="Times New Roman"/>
          <w:b/>
          <w:sz w:val="18"/>
          <w:szCs w:val="18"/>
        </w:rPr>
        <w:t>zakaz wykorzystywania i bezprawnego ujawniania informacji poufnych – art. 14, zakaz manipulacji na rynku – art. 15</w:t>
      </w:r>
      <w:r w:rsidRPr="006A2FDA">
        <w:rPr>
          <w:rFonts w:ascii="Times New Roman" w:hAnsi="Times New Roman"/>
          <w:sz w:val="18"/>
          <w:szCs w:val="18"/>
        </w:rPr>
        <w:t>) osoba pełniąca obowiązki zarządcze w Funduszu / Towarzystwie nie może dokonywać żadnych transakcji na swój rachunek ani na rachunek strony trzeciej, bezpośrednio lub pośrednio, dotyczących certyfikatów inwestycyjnych Funduszu / Towarzystwa lub instrumentów pochodnych lub innych związanych z nimi instrumentów finansowych, przez okres zamknięty 30 dni kalendarzowych przed ogłoszeniem śródrocznego raportu finansowego lub sprawozdania na koniec roku rozliczeniowego, które Fundusz / Towarzystwo ma obowiązek podać do wiadomości publicznej zgodnie z:</w:t>
      </w:r>
    </w:p>
    <w:p w:rsidR="009E066B" w:rsidRPr="00163BE7" w:rsidRDefault="009E066B" w:rsidP="00D23286">
      <w:pPr>
        <w:pStyle w:val="Akapitzlist"/>
        <w:numPr>
          <w:ilvl w:val="0"/>
          <w:numId w:val="11"/>
        </w:numPr>
        <w:spacing w:after="0" w:line="276" w:lineRule="auto"/>
        <w:jc w:val="both"/>
        <w:rPr>
          <w:rFonts w:ascii="Times New Roman" w:hAnsi="Times New Roman"/>
          <w:sz w:val="18"/>
          <w:szCs w:val="18"/>
        </w:rPr>
      </w:pPr>
      <w:r w:rsidRPr="00163BE7">
        <w:rPr>
          <w:rFonts w:ascii="Times New Roman" w:hAnsi="Times New Roman"/>
          <w:sz w:val="18"/>
          <w:szCs w:val="18"/>
        </w:rPr>
        <w:lastRenderedPageBreak/>
        <w:t>przepisami systemu obrotu, w którym certyfikaty inwestycyjne Funduszu / Towarzystwa są dopuszczone do obrotu,</w:t>
      </w:r>
    </w:p>
    <w:p w:rsidR="009E066B" w:rsidRPr="00163BE7" w:rsidRDefault="009E066B" w:rsidP="00D23286">
      <w:pPr>
        <w:pStyle w:val="Akapitzlist"/>
        <w:numPr>
          <w:ilvl w:val="0"/>
          <w:numId w:val="11"/>
        </w:numPr>
        <w:spacing w:after="120" w:line="276" w:lineRule="auto"/>
        <w:ind w:left="714" w:hanging="357"/>
        <w:contextualSpacing w:val="0"/>
        <w:jc w:val="both"/>
        <w:rPr>
          <w:rFonts w:ascii="Times New Roman" w:hAnsi="Times New Roman"/>
          <w:sz w:val="18"/>
          <w:szCs w:val="18"/>
        </w:rPr>
      </w:pPr>
      <w:r w:rsidRPr="00163BE7">
        <w:rPr>
          <w:rFonts w:ascii="Times New Roman" w:hAnsi="Times New Roman"/>
          <w:sz w:val="18"/>
          <w:szCs w:val="18"/>
        </w:rPr>
        <w:t>prawem polskim (art. 19 ust 11 Rozporządzenia MAR).</w:t>
      </w:r>
    </w:p>
    <w:p w:rsidR="009E066B" w:rsidRPr="006A2FDA"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6A2FDA">
        <w:rPr>
          <w:rFonts w:ascii="Times New Roman" w:hAnsi="Times New Roman"/>
          <w:sz w:val="18"/>
          <w:szCs w:val="18"/>
        </w:rPr>
        <w:t>Bez uszczerbku dla art. 14 i 15 Rozporządzenia MAR (</w:t>
      </w:r>
      <w:r w:rsidRPr="006A2FDA">
        <w:rPr>
          <w:rFonts w:ascii="Times New Roman" w:hAnsi="Times New Roman"/>
          <w:b/>
          <w:sz w:val="18"/>
          <w:szCs w:val="18"/>
        </w:rPr>
        <w:t>zakaz wykorzystywania i bezprawnego ujawniania informacji poufnych – art. 14, zakaz manipulacji na rynku – art. 15</w:t>
      </w:r>
      <w:r w:rsidRPr="006A2FDA">
        <w:rPr>
          <w:rFonts w:ascii="Times New Roman" w:hAnsi="Times New Roman"/>
          <w:sz w:val="18"/>
          <w:szCs w:val="18"/>
        </w:rPr>
        <w:t>) Fundusz / Towarzystwo może zezwolić osobie pełniącej u niego obowiązki zarządcze na dokonywanie transakcji na jej rachunek lub na rachunek strony trzeciej w trakcie okresu zamkniętego, o którym mowa w art. 19 ust. 11 Rozporządzenia MAR:</w:t>
      </w:r>
    </w:p>
    <w:p w:rsidR="009E066B" w:rsidRPr="00163BE7" w:rsidRDefault="009E066B" w:rsidP="00D23286">
      <w:pPr>
        <w:pStyle w:val="Akapitzlist"/>
        <w:numPr>
          <w:ilvl w:val="0"/>
          <w:numId w:val="12"/>
        </w:numPr>
        <w:spacing w:after="0" w:line="276" w:lineRule="auto"/>
        <w:jc w:val="both"/>
        <w:rPr>
          <w:rFonts w:ascii="Times New Roman" w:hAnsi="Times New Roman"/>
          <w:sz w:val="18"/>
          <w:szCs w:val="18"/>
        </w:rPr>
      </w:pPr>
      <w:r w:rsidRPr="00163BE7">
        <w:rPr>
          <w:rFonts w:ascii="Times New Roman" w:hAnsi="Times New Roman"/>
          <w:sz w:val="18"/>
          <w:szCs w:val="18"/>
        </w:rPr>
        <w:t xml:space="preserve">na podstawie indywidualnych przypadków z powodu istnienia wyjątkowych okoliczności, takich jak poważne trudności finansowe, wymagających natychmiastowej sprzedaży certyfikatów inwestycyjnych, </w:t>
      </w:r>
    </w:p>
    <w:p w:rsidR="009E066B" w:rsidRPr="00163BE7" w:rsidRDefault="009E066B" w:rsidP="00D23286">
      <w:pPr>
        <w:pStyle w:val="Akapitzlist"/>
        <w:numPr>
          <w:ilvl w:val="0"/>
          <w:numId w:val="12"/>
        </w:numPr>
        <w:spacing w:after="120" w:line="276" w:lineRule="auto"/>
        <w:ind w:left="714" w:hanging="357"/>
        <w:contextualSpacing w:val="0"/>
        <w:jc w:val="both"/>
        <w:rPr>
          <w:rFonts w:ascii="Times New Roman" w:hAnsi="Times New Roman"/>
          <w:sz w:val="18"/>
          <w:szCs w:val="18"/>
        </w:rPr>
      </w:pPr>
      <w:r w:rsidRPr="00163BE7">
        <w:rPr>
          <w:rFonts w:ascii="Times New Roman" w:hAnsi="Times New Roman"/>
          <w:sz w:val="18"/>
          <w:szCs w:val="18"/>
        </w:rPr>
        <w:t>z powodu cech danej transakcji dokonywanej w ramach programu akcji pracowniczych, programów oszczędnościowych, kwalifikacji lub uprawnień do akcji, lub też transakcji, w których korzyść związana z danym papierem wartościowym nie ulega zmianie lub cech transakcji z nimi związanych (art. 19 ust 12 Rozporządzenia MAR).</w:t>
      </w:r>
    </w:p>
    <w:p w:rsidR="009E066B" w:rsidRDefault="009E066B" w:rsidP="00D23286">
      <w:pPr>
        <w:pStyle w:val="Akapitzlist"/>
        <w:numPr>
          <w:ilvl w:val="0"/>
          <w:numId w:val="3"/>
        </w:numPr>
        <w:spacing w:after="120" w:line="276" w:lineRule="auto"/>
        <w:ind w:left="284" w:hanging="284"/>
        <w:jc w:val="both"/>
        <w:rPr>
          <w:rFonts w:ascii="Times New Roman" w:hAnsi="Times New Roman"/>
          <w:sz w:val="18"/>
          <w:szCs w:val="18"/>
        </w:rPr>
      </w:pPr>
      <w:r w:rsidRPr="006A2FDA">
        <w:rPr>
          <w:rFonts w:ascii="Times New Roman" w:hAnsi="Times New Roman"/>
          <w:sz w:val="18"/>
          <w:szCs w:val="18"/>
        </w:rPr>
        <w:t xml:space="preserve">Bez uszczerbku dla jakichkolwiek sankcji karnych, Rozporządzenie MAR przewiduje </w:t>
      </w:r>
      <w:r w:rsidRPr="00B63CC2">
        <w:rPr>
          <w:rFonts w:ascii="Times New Roman" w:hAnsi="Times New Roman"/>
          <w:b/>
          <w:sz w:val="18"/>
          <w:szCs w:val="18"/>
        </w:rPr>
        <w:t>minimalne sankcje administracyjne i inne minimalne środki administracyjne</w:t>
      </w:r>
      <w:r w:rsidRPr="006A2FDA">
        <w:rPr>
          <w:rFonts w:ascii="Times New Roman" w:hAnsi="Times New Roman"/>
          <w:sz w:val="18"/>
          <w:szCs w:val="18"/>
        </w:rPr>
        <w:t xml:space="preserve"> w związku z </w:t>
      </w:r>
      <w:r w:rsidRPr="006A2FDA">
        <w:rPr>
          <w:rFonts w:ascii="Times New Roman" w:hAnsi="Times New Roman"/>
          <w:b/>
          <w:sz w:val="18"/>
          <w:szCs w:val="18"/>
        </w:rPr>
        <w:t>naruszeniami postanowień art. 19 Rozporządzenia MAR</w:t>
      </w:r>
      <w:r w:rsidRPr="006A2FDA">
        <w:rPr>
          <w:rFonts w:ascii="Times New Roman" w:hAnsi="Times New Roman"/>
          <w:sz w:val="18"/>
          <w:szCs w:val="18"/>
        </w:rPr>
        <w:t>, które zostaną ustalone w ustawie o zmianie ustawy o obrocie instrumentami finansowymi oraz niektórych innych ustaw, dostosowującej przepisy krajo</w:t>
      </w:r>
      <w:r>
        <w:rPr>
          <w:rFonts w:ascii="Times New Roman" w:hAnsi="Times New Roman"/>
          <w:sz w:val="18"/>
          <w:szCs w:val="18"/>
        </w:rPr>
        <w:t>we m. in do Rozporządzenia MAR. W</w:t>
      </w:r>
      <w:r w:rsidRPr="006A2FDA">
        <w:rPr>
          <w:rFonts w:ascii="Times New Roman" w:hAnsi="Times New Roman"/>
          <w:sz w:val="18"/>
          <w:szCs w:val="18"/>
        </w:rPr>
        <w:t xml:space="preserve"> szczególności</w:t>
      </w:r>
      <w:r>
        <w:rPr>
          <w:rFonts w:ascii="Times New Roman" w:hAnsi="Times New Roman"/>
          <w:sz w:val="18"/>
          <w:szCs w:val="18"/>
        </w:rPr>
        <w:t xml:space="preserve">, </w:t>
      </w:r>
      <w:r w:rsidRPr="00B63CC2">
        <w:rPr>
          <w:rFonts w:ascii="Times New Roman" w:hAnsi="Times New Roman"/>
          <w:sz w:val="18"/>
          <w:szCs w:val="18"/>
        </w:rPr>
        <w:t xml:space="preserve">w przypadku osoby fizycznej – maksymalne administracyjne sankcje pieniężne w wysokości </w:t>
      </w:r>
      <w:r w:rsidRPr="00B63CC2">
        <w:rPr>
          <w:rFonts w:ascii="Times New Roman" w:hAnsi="Times New Roman"/>
          <w:b/>
          <w:sz w:val="18"/>
          <w:szCs w:val="18"/>
        </w:rPr>
        <w:t>co najmniej 500.000 EUR</w:t>
      </w:r>
      <w:r w:rsidRPr="00B63CC2">
        <w:rPr>
          <w:rFonts w:ascii="Times New Roman" w:hAnsi="Times New Roman"/>
          <w:sz w:val="18"/>
          <w:szCs w:val="18"/>
        </w:rPr>
        <w:t>, a w państwie członkowskim, w którym walutą nie jest euro, równowartość tej kwoty w walucie krajowej na dzień 2 lipca 2014 r. (art. 30 ust 2 lit i Rozporządzenia MAR).</w:t>
      </w:r>
    </w:p>
    <w:p w:rsidR="009E066B" w:rsidRPr="00B63CC2" w:rsidRDefault="009E066B" w:rsidP="00163BE7">
      <w:pPr>
        <w:spacing w:before="120" w:after="120" w:line="276" w:lineRule="auto"/>
        <w:ind w:left="284"/>
        <w:jc w:val="both"/>
        <w:rPr>
          <w:rFonts w:ascii="Times New Roman" w:hAnsi="Times New Roman"/>
          <w:sz w:val="18"/>
          <w:szCs w:val="18"/>
        </w:rPr>
      </w:pPr>
      <w:r w:rsidRPr="00B63CC2">
        <w:rPr>
          <w:rFonts w:ascii="Times New Roman" w:hAnsi="Times New Roman"/>
          <w:sz w:val="18"/>
          <w:szCs w:val="18"/>
        </w:rPr>
        <w:t xml:space="preserve">Projekt ustawy o zmianie ustawy o obrocie instrumentami finansowymi oraz niektórych innych ustaw, dostosowującej przepisy krajowe m. in do Rozporządzenia MAR znajduje się w fazie uzgodnień, konsultacji publicznych i zaopiniowania. Projekt w/w ustawy dostępny jest na stronie internetowej pod adresem: </w:t>
      </w:r>
      <w:r w:rsidRPr="00B63CC2">
        <w:rPr>
          <w:rFonts w:ascii="Times New Roman" w:hAnsi="Times New Roman"/>
          <w:b/>
          <w:sz w:val="18"/>
          <w:szCs w:val="18"/>
        </w:rPr>
        <w:t>http://legislacja.rcl.gov.pl/projekt/12284550</w:t>
      </w:r>
      <w:r w:rsidRPr="00B63CC2">
        <w:rPr>
          <w:rFonts w:ascii="Times New Roman" w:hAnsi="Times New Roman"/>
          <w:sz w:val="18"/>
          <w:szCs w:val="18"/>
        </w:rPr>
        <w:t>.</w:t>
      </w:r>
    </w:p>
    <w:p w:rsidR="009E066B" w:rsidRPr="00384125" w:rsidRDefault="009E066B" w:rsidP="00D23286">
      <w:pPr>
        <w:pStyle w:val="Akapitzlist"/>
        <w:numPr>
          <w:ilvl w:val="0"/>
          <w:numId w:val="3"/>
        </w:numPr>
        <w:spacing w:after="120" w:line="276" w:lineRule="auto"/>
        <w:ind w:left="284" w:hanging="284"/>
        <w:contextualSpacing w:val="0"/>
        <w:jc w:val="both"/>
        <w:rPr>
          <w:rFonts w:ascii="Times New Roman" w:hAnsi="Times New Roman"/>
          <w:sz w:val="18"/>
          <w:szCs w:val="18"/>
        </w:rPr>
      </w:pPr>
      <w:r w:rsidRPr="00384125">
        <w:rPr>
          <w:rFonts w:ascii="Times New Roman" w:hAnsi="Times New Roman"/>
          <w:b/>
          <w:sz w:val="18"/>
          <w:szCs w:val="18"/>
        </w:rPr>
        <w:t>Z dniem 3 lipca 2016 r. wchodzi w życie Dyrektywa Parlamentu Europejskiego i Rady 2014/57/UE z dnia 16 kwietnia 2014 r. w sprawie sankcji karnych za nadużycia na rynku</w:t>
      </w:r>
      <w:r w:rsidRPr="00384125">
        <w:rPr>
          <w:rFonts w:ascii="Times New Roman" w:hAnsi="Times New Roman"/>
          <w:sz w:val="18"/>
          <w:szCs w:val="18"/>
        </w:rPr>
        <w:t xml:space="preserve"> („</w:t>
      </w:r>
      <w:r w:rsidRPr="00384125">
        <w:rPr>
          <w:rFonts w:ascii="Times New Roman" w:hAnsi="Times New Roman"/>
          <w:b/>
          <w:sz w:val="18"/>
          <w:szCs w:val="18"/>
        </w:rPr>
        <w:t>Dyrektywa MAD</w:t>
      </w:r>
      <w:r w:rsidRPr="00384125">
        <w:rPr>
          <w:rFonts w:ascii="Times New Roman" w:hAnsi="Times New Roman"/>
          <w:sz w:val="18"/>
          <w:szCs w:val="18"/>
        </w:rPr>
        <w:t xml:space="preserve">”), która ustanawia </w:t>
      </w:r>
      <w:r w:rsidRPr="00384125">
        <w:rPr>
          <w:rFonts w:ascii="Times New Roman" w:hAnsi="Times New Roman"/>
          <w:b/>
          <w:sz w:val="18"/>
          <w:szCs w:val="18"/>
        </w:rPr>
        <w:t>normy minimalne dotyczące sankcji karnych za wykorzystywanie informacji poufnych</w:t>
      </w:r>
      <w:r w:rsidRPr="00384125">
        <w:rPr>
          <w:rFonts w:ascii="Times New Roman" w:hAnsi="Times New Roman"/>
          <w:sz w:val="18"/>
          <w:szCs w:val="18"/>
        </w:rPr>
        <w:t xml:space="preserve">, </w:t>
      </w:r>
      <w:r w:rsidRPr="00384125">
        <w:rPr>
          <w:rFonts w:ascii="Times New Roman" w:hAnsi="Times New Roman"/>
          <w:b/>
          <w:sz w:val="18"/>
          <w:szCs w:val="18"/>
        </w:rPr>
        <w:t>bezprawne ujawnianie informacji poufnych</w:t>
      </w:r>
      <w:r w:rsidRPr="00384125">
        <w:rPr>
          <w:rFonts w:ascii="Times New Roman" w:hAnsi="Times New Roman"/>
          <w:sz w:val="18"/>
          <w:szCs w:val="18"/>
        </w:rPr>
        <w:t xml:space="preserve"> oraz manipulację na rynku.</w:t>
      </w:r>
      <w:r>
        <w:rPr>
          <w:rFonts w:ascii="Times New Roman" w:hAnsi="Times New Roman"/>
          <w:sz w:val="18"/>
          <w:szCs w:val="18"/>
        </w:rPr>
        <w:t xml:space="preserve"> </w:t>
      </w:r>
      <w:r w:rsidRPr="00384125">
        <w:rPr>
          <w:rFonts w:ascii="Times New Roman" w:hAnsi="Times New Roman"/>
          <w:sz w:val="18"/>
          <w:szCs w:val="18"/>
        </w:rPr>
        <w:t xml:space="preserve">Regulacje Dyrektywy MAD </w:t>
      </w:r>
      <w:r w:rsidRPr="00384125">
        <w:rPr>
          <w:rFonts w:ascii="Times New Roman" w:hAnsi="Times New Roman"/>
          <w:b/>
          <w:sz w:val="18"/>
          <w:szCs w:val="18"/>
        </w:rPr>
        <w:t>wymagają implementowania do prawa krajowego</w:t>
      </w:r>
      <w:r w:rsidRPr="00384125">
        <w:rPr>
          <w:rFonts w:ascii="Times New Roman" w:hAnsi="Times New Roman"/>
          <w:sz w:val="18"/>
          <w:szCs w:val="18"/>
        </w:rPr>
        <w:t xml:space="preserve">. </w:t>
      </w:r>
      <w:r w:rsidRPr="00384125">
        <w:rPr>
          <w:rFonts w:ascii="Times New Roman" w:hAnsi="Times New Roman"/>
          <w:sz w:val="18"/>
          <w:szCs w:val="18"/>
          <w:u w:val="single"/>
        </w:rPr>
        <w:t>Na dzień nadania niniejszego pisma regulacje Dyrektywy MAD nie zostały implementowane do polskiego porządku prawnego</w:t>
      </w:r>
      <w:r w:rsidRPr="00384125">
        <w:rPr>
          <w:rFonts w:ascii="Times New Roman" w:hAnsi="Times New Roman"/>
          <w:sz w:val="18"/>
          <w:szCs w:val="18"/>
        </w:rPr>
        <w:t xml:space="preserve">.  </w:t>
      </w:r>
    </w:p>
    <w:p w:rsidR="007B0979" w:rsidRPr="00932168" w:rsidRDefault="009E066B" w:rsidP="009E066B">
      <w:pPr>
        <w:pStyle w:val="Akapitzlist"/>
        <w:numPr>
          <w:ilvl w:val="0"/>
          <w:numId w:val="3"/>
        </w:numPr>
        <w:spacing w:after="0" w:line="276" w:lineRule="auto"/>
        <w:ind w:left="284" w:hanging="284"/>
        <w:jc w:val="both"/>
        <w:rPr>
          <w:rFonts w:ascii="Times New Roman" w:hAnsi="Times New Roman"/>
          <w:b/>
          <w:sz w:val="18"/>
          <w:szCs w:val="18"/>
        </w:rPr>
      </w:pPr>
      <w:r w:rsidRPr="00932168">
        <w:rPr>
          <w:rFonts w:ascii="Times New Roman" w:hAnsi="Times New Roman"/>
          <w:b/>
          <w:sz w:val="18"/>
          <w:szCs w:val="18"/>
        </w:rPr>
        <w:t>Fundusz / Towarzystwo uprzejmie informuje, iż pomimo należytej staranności w przygotowaniu niniejszego powiadomienia, zawarte w niniejszym powiadomieniu informacje mogą nie obejmować wszystkich obowiązków wynikających z nowych regulacji prawnych. W związku z powyższym, Fundusz / Towarzystwo rekomenduje bezpośrednie i osobiste zapoznanie się z pełną treścią regulacji prawnych wymienionych w treści niniejszego powiadomienia. Pełne wersje wymienionych w treści niniejszego powiadomienia dokumentów, tj. Rozporządzenie MAR, Dyrektywa MAD, dostępne są na stronie internetowej pod adresem: http://eur-lex.europa.eu.</w:t>
      </w:r>
    </w:p>
    <w:sectPr w:rsidR="007B0979" w:rsidRPr="00932168" w:rsidSect="007B0979">
      <w:headerReference w:type="default" r:id="rId9"/>
      <w:footerReference w:type="default" r:id="rId10"/>
      <w:pgSz w:w="11906" w:h="16838"/>
      <w:pgMar w:top="1417"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3C" w:rsidRDefault="00FE443C" w:rsidP="00490605">
      <w:pPr>
        <w:spacing w:after="0" w:line="240" w:lineRule="auto"/>
      </w:pPr>
      <w:r>
        <w:separator/>
      </w:r>
    </w:p>
  </w:endnote>
  <w:endnote w:type="continuationSeparator" w:id="0">
    <w:p w:rsidR="00FE443C" w:rsidRDefault="00FE443C" w:rsidP="0049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39" w:rsidRDefault="00F73639" w:rsidP="00F73639">
    <w:pPr>
      <w:pStyle w:val="Stopka"/>
      <w:spacing w:before="240"/>
      <w:jc w:val="right"/>
    </w:pPr>
    <w:r w:rsidRPr="00483F83">
      <w:rPr>
        <w:rFonts w:ascii="Times New Roman" w:hAnsi="Times New Roman" w:cs="Times New Roman"/>
        <w:sz w:val="18"/>
      </w:rPr>
      <w:fldChar w:fldCharType="begin"/>
    </w:r>
    <w:r w:rsidRPr="00483F83">
      <w:rPr>
        <w:rFonts w:ascii="Times New Roman" w:hAnsi="Times New Roman" w:cs="Times New Roman"/>
        <w:sz w:val="18"/>
      </w:rPr>
      <w:instrText>PAGE   \* MERGEFORMAT</w:instrText>
    </w:r>
    <w:r w:rsidRPr="00483F83">
      <w:rPr>
        <w:rFonts w:ascii="Times New Roman" w:hAnsi="Times New Roman" w:cs="Times New Roman"/>
        <w:sz w:val="18"/>
      </w:rPr>
      <w:fldChar w:fldCharType="separate"/>
    </w:r>
    <w:r w:rsidR="00DB423E">
      <w:rPr>
        <w:rFonts w:ascii="Times New Roman" w:hAnsi="Times New Roman" w:cs="Times New Roman"/>
        <w:noProof/>
        <w:sz w:val="18"/>
      </w:rPr>
      <w:t>1</w:t>
    </w:r>
    <w:r w:rsidRPr="00483F83">
      <w:rPr>
        <w:rFonts w:ascii="Times New Roman" w:hAnsi="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3C" w:rsidRDefault="00FE443C" w:rsidP="00490605">
      <w:pPr>
        <w:spacing w:after="0" w:line="240" w:lineRule="auto"/>
      </w:pPr>
      <w:r>
        <w:separator/>
      </w:r>
    </w:p>
  </w:footnote>
  <w:footnote w:type="continuationSeparator" w:id="0">
    <w:p w:rsidR="00FE443C" w:rsidRDefault="00FE443C" w:rsidP="00490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68" w:rsidRDefault="00932168" w:rsidP="00166343">
    <w:pPr>
      <w:pStyle w:val="Nagwek"/>
      <w:spacing w:after="240"/>
      <w:jc w:val="both"/>
    </w:pPr>
    <w:r>
      <w:rPr>
        <w:noProof/>
        <w:lang w:eastAsia="pl-PL"/>
      </w:rPr>
      <w:drawing>
        <wp:inline distT="0" distB="0" distL="0" distR="0" wp14:anchorId="01A95E99" wp14:editId="599EB67F">
          <wp:extent cx="6403764" cy="72000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 naglowek.png"/>
                  <pic:cNvPicPr/>
                </pic:nvPicPr>
                <pic:blipFill rotWithShape="1">
                  <a:blip r:embed="rId1">
                    <a:extLst>
                      <a:ext uri="{28A0092B-C50C-407E-A947-70E740481C1C}">
                        <a14:useLocalDpi xmlns:a14="http://schemas.microsoft.com/office/drawing/2010/main" val="0"/>
                      </a:ext>
                    </a:extLst>
                  </a:blip>
                  <a:srcRect l="-7" r="-7"/>
                  <a:stretch/>
                </pic:blipFill>
                <pic:spPr>
                  <a:xfrm>
                    <a:off x="0" y="0"/>
                    <a:ext cx="6403764"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6BA"/>
    <w:multiLevelType w:val="hybridMultilevel"/>
    <w:tmpl w:val="A91C2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963B28"/>
    <w:multiLevelType w:val="hybridMultilevel"/>
    <w:tmpl w:val="5C1AC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C61D32"/>
    <w:multiLevelType w:val="hybridMultilevel"/>
    <w:tmpl w:val="85824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55FE2"/>
    <w:multiLevelType w:val="hybridMultilevel"/>
    <w:tmpl w:val="6B3EA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3E747E"/>
    <w:multiLevelType w:val="hybridMultilevel"/>
    <w:tmpl w:val="B1A8109A"/>
    <w:lvl w:ilvl="0" w:tplc="8E48D3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792379"/>
    <w:multiLevelType w:val="hybridMultilevel"/>
    <w:tmpl w:val="3A809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B028C"/>
    <w:multiLevelType w:val="hybridMultilevel"/>
    <w:tmpl w:val="C83C5D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1B7BC9"/>
    <w:multiLevelType w:val="hybridMultilevel"/>
    <w:tmpl w:val="278A4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2E4ACB"/>
    <w:multiLevelType w:val="hybridMultilevel"/>
    <w:tmpl w:val="844250A2"/>
    <w:lvl w:ilvl="0" w:tplc="EC7AA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DD5E0D"/>
    <w:multiLevelType w:val="hybridMultilevel"/>
    <w:tmpl w:val="A34E8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E52C94"/>
    <w:multiLevelType w:val="hybridMultilevel"/>
    <w:tmpl w:val="DCF65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0E6E58"/>
    <w:multiLevelType w:val="hybridMultilevel"/>
    <w:tmpl w:val="D910C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110F42"/>
    <w:multiLevelType w:val="hybridMultilevel"/>
    <w:tmpl w:val="2D1C1A76"/>
    <w:lvl w:ilvl="0" w:tplc="EC7AA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D418FF"/>
    <w:multiLevelType w:val="hybridMultilevel"/>
    <w:tmpl w:val="1F741968"/>
    <w:lvl w:ilvl="0" w:tplc="A890295C">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3B90EF8"/>
    <w:multiLevelType w:val="hybridMultilevel"/>
    <w:tmpl w:val="04F0A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5A562E"/>
    <w:multiLevelType w:val="hybridMultilevel"/>
    <w:tmpl w:val="C30EA788"/>
    <w:lvl w:ilvl="0" w:tplc="8E48D3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D060DE"/>
    <w:multiLevelType w:val="hybridMultilevel"/>
    <w:tmpl w:val="CAE41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10"/>
  </w:num>
  <w:num w:numId="5">
    <w:abstractNumId w:val="7"/>
  </w:num>
  <w:num w:numId="6">
    <w:abstractNumId w:val="16"/>
  </w:num>
  <w:num w:numId="7">
    <w:abstractNumId w:val="3"/>
  </w:num>
  <w:num w:numId="8">
    <w:abstractNumId w:val="9"/>
  </w:num>
  <w:num w:numId="9">
    <w:abstractNumId w:val="5"/>
  </w:num>
  <w:num w:numId="10">
    <w:abstractNumId w:val="13"/>
  </w:num>
  <w:num w:numId="11">
    <w:abstractNumId w:val="11"/>
  </w:num>
  <w:num w:numId="12">
    <w:abstractNumId w:val="2"/>
  </w:num>
  <w:num w:numId="13">
    <w:abstractNumId w:val="0"/>
  </w:num>
  <w:num w:numId="14">
    <w:abstractNumId w:val="6"/>
  </w:num>
  <w:num w:numId="15">
    <w:abstractNumId w:val="14"/>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05"/>
    <w:rsid w:val="000400DB"/>
    <w:rsid w:val="000B3D3A"/>
    <w:rsid w:val="00163BE7"/>
    <w:rsid w:val="00166343"/>
    <w:rsid w:val="002133BC"/>
    <w:rsid w:val="00483F83"/>
    <w:rsid w:val="00490605"/>
    <w:rsid w:val="00707179"/>
    <w:rsid w:val="00765D1F"/>
    <w:rsid w:val="007B0979"/>
    <w:rsid w:val="008E7277"/>
    <w:rsid w:val="00932168"/>
    <w:rsid w:val="00963D2D"/>
    <w:rsid w:val="009E066B"/>
    <w:rsid w:val="00A43EB0"/>
    <w:rsid w:val="00A47084"/>
    <w:rsid w:val="00AB0D23"/>
    <w:rsid w:val="00D23286"/>
    <w:rsid w:val="00D35664"/>
    <w:rsid w:val="00DB423E"/>
    <w:rsid w:val="00E12F90"/>
    <w:rsid w:val="00E93B13"/>
    <w:rsid w:val="00EE568F"/>
    <w:rsid w:val="00EF5E52"/>
    <w:rsid w:val="00F73639"/>
    <w:rsid w:val="00F738BB"/>
    <w:rsid w:val="00FB2309"/>
    <w:rsid w:val="00FE4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0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605"/>
  </w:style>
  <w:style w:type="paragraph" w:styleId="Stopka">
    <w:name w:val="footer"/>
    <w:basedOn w:val="Normalny"/>
    <w:link w:val="StopkaZnak"/>
    <w:uiPriority w:val="99"/>
    <w:unhideWhenUsed/>
    <w:rsid w:val="00490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605"/>
  </w:style>
  <w:style w:type="paragraph" w:styleId="Tekstdymka">
    <w:name w:val="Balloon Text"/>
    <w:basedOn w:val="Normalny"/>
    <w:link w:val="TekstdymkaZnak"/>
    <w:uiPriority w:val="99"/>
    <w:semiHidden/>
    <w:unhideWhenUsed/>
    <w:rsid w:val="004906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605"/>
    <w:rPr>
      <w:rFonts w:ascii="Segoe UI" w:hAnsi="Segoe UI" w:cs="Segoe UI"/>
      <w:sz w:val="18"/>
      <w:szCs w:val="18"/>
    </w:rPr>
  </w:style>
  <w:style w:type="paragraph" w:styleId="Akapitzlist">
    <w:name w:val="List Paragraph"/>
    <w:basedOn w:val="Normalny"/>
    <w:uiPriority w:val="34"/>
    <w:qFormat/>
    <w:rsid w:val="00166343"/>
    <w:pPr>
      <w:ind w:left="720"/>
      <w:contextualSpacing/>
    </w:pPr>
  </w:style>
  <w:style w:type="paragraph" w:styleId="Tekstprzypisudolnego">
    <w:name w:val="footnote text"/>
    <w:basedOn w:val="Normalny"/>
    <w:link w:val="TekstprzypisudolnegoZnak"/>
    <w:rsid w:val="009E066B"/>
    <w:pPr>
      <w:spacing w:after="200" w:line="240" w:lineRule="auto"/>
    </w:pPr>
    <w:rPr>
      <w:rFonts w:ascii="Cambria" w:eastAsia="Cambria" w:hAnsi="Cambria" w:cs="Times New Roman"/>
      <w:sz w:val="24"/>
      <w:szCs w:val="24"/>
      <w:lang w:val="en-US" w:eastAsia="x-none"/>
    </w:rPr>
  </w:style>
  <w:style w:type="character" w:customStyle="1" w:styleId="TekstprzypisudolnegoZnak">
    <w:name w:val="Tekst przypisu dolnego Znak"/>
    <w:basedOn w:val="Domylnaczcionkaakapitu"/>
    <w:link w:val="Tekstprzypisudolnego"/>
    <w:rsid w:val="009E066B"/>
    <w:rPr>
      <w:rFonts w:ascii="Cambria" w:eastAsia="Cambria" w:hAnsi="Cambria" w:cs="Times New Roman"/>
      <w:sz w:val="24"/>
      <w:szCs w:val="24"/>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0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605"/>
  </w:style>
  <w:style w:type="paragraph" w:styleId="Stopka">
    <w:name w:val="footer"/>
    <w:basedOn w:val="Normalny"/>
    <w:link w:val="StopkaZnak"/>
    <w:uiPriority w:val="99"/>
    <w:unhideWhenUsed/>
    <w:rsid w:val="00490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605"/>
  </w:style>
  <w:style w:type="paragraph" w:styleId="Tekstdymka">
    <w:name w:val="Balloon Text"/>
    <w:basedOn w:val="Normalny"/>
    <w:link w:val="TekstdymkaZnak"/>
    <w:uiPriority w:val="99"/>
    <w:semiHidden/>
    <w:unhideWhenUsed/>
    <w:rsid w:val="004906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605"/>
    <w:rPr>
      <w:rFonts w:ascii="Segoe UI" w:hAnsi="Segoe UI" w:cs="Segoe UI"/>
      <w:sz w:val="18"/>
      <w:szCs w:val="18"/>
    </w:rPr>
  </w:style>
  <w:style w:type="paragraph" w:styleId="Akapitzlist">
    <w:name w:val="List Paragraph"/>
    <w:basedOn w:val="Normalny"/>
    <w:uiPriority w:val="34"/>
    <w:qFormat/>
    <w:rsid w:val="00166343"/>
    <w:pPr>
      <w:ind w:left="720"/>
      <w:contextualSpacing/>
    </w:pPr>
  </w:style>
  <w:style w:type="paragraph" w:styleId="Tekstprzypisudolnego">
    <w:name w:val="footnote text"/>
    <w:basedOn w:val="Normalny"/>
    <w:link w:val="TekstprzypisudolnegoZnak"/>
    <w:rsid w:val="009E066B"/>
    <w:pPr>
      <w:spacing w:after="200" w:line="240" w:lineRule="auto"/>
    </w:pPr>
    <w:rPr>
      <w:rFonts w:ascii="Cambria" w:eastAsia="Cambria" w:hAnsi="Cambria" w:cs="Times New Roman"/>
      <w:sz w:val="24"/>
      <w:szCs w:val="24"/>
      <w:lang w:val="en-US" w:eastAsia="x-none"/>
    </w:rPr>
  </w:style>
  <w:style w:type="character" w:customStyle="1" w:styleId="TekstprzypisudolnegoZnak">
    <w:name w:val="Tekst przypisu dolnego Znak"/>
    <w:basedOn w:val="Domylnaczcionkaakapitu"/>
    <w:link w:val="Tekstprzypisudolnego"/>
    <w:rsid w:val="009E066B"/>
    <w:rPr>
      <w:rFonts w:ascii="Cambria" w:eastAsia="Cambria" w:hAnsi="Cambria"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1996-BCFC-4D80-8B21-36A1CD51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2435</Words>
  <Characters>14613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2016-10-26T20:03:00Z</cp:lastPrinted>
  <dcterms:created xsi:type="dcterms:W3CDTF">2016-10-26T20:03:00Z</dcterms:created>
  <dcterms:modified xsi:type="dcterms:W3CDTF">2016-10-26T20:04:00Z</dcterms:modified>
</cp:coreProperties>
</file>